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3B" w:rsidRPr="004C25DE" w:rsidRDefault="0052563D" w:rsidP="00BC45AC">
      <w:pPr>
        <w:pStyle w:val="Heading1"/>
        <w:jc w:val="center"/>
        <w:rPr>
          <w:lang w:val="fr-FR"/>
        </w:rPr>
      </w:pPr>
      <w:r w:rsidRPr="004C25DE">
        <w:rPr>
          <w:rStyle w:val="TitleChar"/>
          <w:lang w:val="fr-FR"/>
        </w:rPr>
        <w:t xml:space="preserve">Cartographie communautaire de la Sécurité </w:t>
      </w:r>
      <w:r w:rsidR="00BC45AC" w:rsidRPr="004C25DE">
        <w:rPr>
          <w:noProof/>
          <w:lang w:val="fr-FR"/>
        </w:rPr>
        <w:drawing>
          <wp:inline distT="0" distB="0" distL="0" distR="0" wp14:anchorId="38A19AD3" wp14:editId="1493B6CE">
            <wp:extent cx="6067425" cy="3992880"/>
            <wp:effectExtent l="0" t="0" r="9525" b="762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9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AC" w:rsidRPr="004C25DE" w:rsidRDefault="00BC45AC">
      <w:pPr>
        <w:rPr>
          <w:lang w:val="fr-FR"/>
        </w:rPr>
      </w:pPr>
    </w:p>
    <w:p w:rsidR="0052563D" w:rsidRPr="004C25DE" w:rsidRDefault="0052563D" w:rsidP="00BC45AC">
      <w:pPr>
        <w:rPr>
          <w:lang w:val="fr-FR"/>
        </w:rPr>
      </w:pPr>
      <w:r w:rsidRPr="004C25DE">
        <w:rPr>
          <w:lang w:val="fr-FR"/>
        </w:rPr>
        <w:t xml:space="preserve">Un exercice de cartographie communautaire de la sécurité intègre les membres de la communauté locale pour identifier les </w:t>
      </w:r>
      <w:r w:rsidR="00D741E7" w:rsidRPr="004C25DE">
        <w:rPr>
          <w:lang w:val="fr-FR"/>
        </w:rPr>
        <w:t>installations et services dans leur environnement et les zones où ils se sentent en sécurité et celles où ils se sentent en danger.</w:t>
      </w:r>
    </w:p>
    <w:p w:rsidR="00BC45AC" w:rsidRPr="004C25DE" w:rsidRDefault="00D741E7" w:rsidP="00BC45AC">
      <w:pPr>
        <w:numPr>
          <w:ilvl w:val="0"/>
          <w:numId w:val="1"/>
        </w:numPr>
        <w:spacing w:after="0" w:line="240" w:lineRule="auto"/>
        <w:rPr>
          <w:lang w:val="fr-FR"/>
        </w:rPr>
      </w:pPr>
      <w:r w:rsidRPr="004C25DE">
        <w:rPr>
          <w:lang w:val="fr-FR"/>
        </w:rPr>
        <w:t xml:space="preserve">Cartographie détaillée avec : </w:t>
      </w:r>
    </w:p>
    <w:p w:rsidR="00D741E7" w:rsidRPr="004C25DE" w:rsidRDefault="00D741E7" w:rsidP="0034674F">
      <w:pPr>
        <w:numPr>
          <w:ilvl w:val="1"/>
          <w:numId w:val="1"/>
        </w:numPr>
        <w:spacing w:after="0" w:line="240" w:lineRule="auto"/>
        <w:rPr>
          <w:lang w:val="fr-FR"/>
        </w:rPr>
      </w:pPr>
      <w:r w:rsidRPr="004C25DE">
        <w:rPr>
          <w:lang w:val="fr-FR"/>
        </w:rPr>
        <w:t xml:space="preserve">En rouge les zones où ils se sentent en sécurité </w:t>
      </w:r>
      <w:bookmarkStart w:id="0" w:name="_GoBack"/>
      <w:bookmarkEnd w:id="0"/>
    </w:p>
    <w:p w:rsidR="00490AFE" w:rsidRPr="004C25DE" w:rsidRDefault="00D741E7" w:rsidP="0034674F">
      <w:pPr>
        <w:numPr>
          <w:ilvl w:val="1"/>
          <w:numId w:val="1"/>
        </w:numPr>
        <w:spacing w:after="0" w:line="240" w:lineRule="auto"/>
        <w:rPr>
          <w:lang w:val="fr-FR"/>
        </w:rPr>
      </w:pPr>
      <w:r w:rsidRPr="004C25DE">
        <w:rPr>
          <w:lang w:val="fr-FR"/>
        </w:rPr>
        <w:t xml:space="preserve">En jaune les zones qu’ils pensent être dangereuses </w:t>
      </w:r>
    </w:p>
    <w:p w:rsidR="00490AFE" w:rsidRPr="004C25DE" w:rsidRDefault="00D741E7" w:rsidP="00BC45AC">
      <w:pPr>
        <w:numPr>
          <w:ilvl w:val="1"/>
          <w:numId w:val="1"/>
        </w:numPr>
        <w:spacing w:after="0" w:line="240" w:lineRule="auto"/>
        <w:rPr>
          <w:lang w:val="fr-FR"/>
        </w:rPr>
      </w:pPr>
      <w:r w:rsidRPr="004C25DE">
        <w:rPr>
          <w:lang w:val="fr-FR"/>
        </w:rPr>
        <w:t>Des symbol</w:t>
      </w:r>
      <w:r w:rsidR="004C25DE" w:rsidRPr="004C25DE">
        <w:rPr>
          <w:lang w:val="fr-FR"/>
        </w:rPr>
        <w:t>e</w:t>
      </w:r>
      <w:r w:rsidRPr="004C25DE">
        <w:rPr>
          <w:lang w:val="fr-FR"/>
        </w:rPr>
        <w:t xml:space="preserve">s pour les menaces et les horaires des dangers </w:t>
      </w:r>
    </w:p>
    <w:p w:rsidR="00BC45AC" w:rsidRPr="004C25DE" w:rsidRDefault="00D741E7" w:rsidP="00BC45AC">
      <w:pPr>
        <w:rPr>
          <w:lang w:val="fr-FR"/>
        </w:rPr>
      </w:pPr>
      <w:r w:rsidRPr="004C25DE">
        <w:rPr>
          <w:lang w:val="fr-FR"/>
        </w:rPr>
        <w:t xml:space="preserve">Un tableau peut ensuite être rempli, en soulignant : </w:t>
      </w:r>
    </w:p>
    <w:tbl>
      <w:tblPr>
        <w:tblW w:w="95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32"/>
        <w:gridCol w:w="1899"/>
        <w:gridCol w:w="1899"/>
        <w:gridCol w:w="1899"/>
        <w:gridCol w:w="2395"/>
      </w:tblGrid>
      <w:tr w:rsidR="00BC45AC" w:rsidRPr="004C25DE" w:rsidTr="00BC45AC">
        <w:trPr>
          <w:trHeight w:val="384"/>
        </w:trPr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D741E7" w:rsidP="00BC45AC">
            <w:pPr>
              <w:rPr>
                <w:lang w:val="fr-FR"/>
              </w:rPr>
            </w:pPr>
            <w:r w:rsidRPr="004C25DE">
              <w:rPr>
                <w:b/>
                <w:bCs/>
                <w:lang w:val="fr-FR"/>
              </w:rPr>
              <w:t>Menace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D741E7" w:rsidP="00BC45AC">
            <w:pPr>
              <w:rPr>
                <w:lang w:val="fr-FR"/>
              </w:rPr>
            </w:pPr>
            <w:r w:rsidRPr="004C25DE">
              <w:rPr>
                <w:b/>
                <w:bCs/>
                <w:lang w:val="fr-FR"/>
              </w:rPr>
              <w:t>Où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D741E7" w:rsidP="00BC45AC">
            <w:pPr>
              <w:rPr>
                <w:lang w:val="fr-FR"/>
              </w:rPr>
            </w:pPr>
            <w:r w:rsidRPr="004C25DE">
              <w:rPr>
                <w:b/>
                <w:bCs/>
                <w:lang w:val="fr-FR"/>
              </w:rPr>
              <w:t>Heure</w:t>
            </w: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D741E7" w:rsidP="00BC45AC">
            <w:pPr>
              <w:rPr>
                <w:lang w:val="fr-FR"/>
              </w:rPr>
            </w:pPr>
            <w:r w:rsidRPr="004C25DE">
              <w:rPr>
                <w:b/>
                <w:bCs/>
                <w:lang w:val="fr-FR"/>
              </w:rPr>
              <w:t>Pour qui</w:t>
            </w: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D741E7" w:rsidP="00BC45AC">
            <w:pPr>
              <w:rPr>
                <w:lang w:val="fr-FR"/>
              </w:rPr>
            </w:pPr>
            <w:r w:rsidRPr="004C25DE">
              <w:rPr>
                <w:b/>
                <w:bCs/>
                <w:lang w:val="fr-FR"/>
              </w:rPr>
              <w:t xml:space="preserve">Que faire </w:t>
            </w:r>
          </w:p>
        </w:tc>
      </w:tr>
      <w:tr w:rsidR="00BC45AC" w:rsidRPr="004C25DE" w:rsidTr="00BC45AC">
        <w:trPr>
          <w:trHeight w:val="1532"/>
        </w:trPr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2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</w:tr>
      <w:tr w:rsidR="00BC45AC" w:rsidRPr="004C25DE" w:rsidTr="00BC45AC">
        <w:trPr>
          <w:trHeight w:val="1532"/>
        </w:trPr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18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  <w:tc>
          <w:tcPr>
            <w:tcW w:w="2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C45AC" w:rsidRPr="004C25DE" w:rsidRDefault="00BC45AC" w:rsidP="00BC45AC">
            <w:pPr>
              <w:rPr>
                <w:lang w:val="fr-FR"/>
              </w:rPr>
            </w:pPr>
          </w:p>
        </w:tc>
      </w:tr>
    </w:tbl>
    <w:p w:rsidR="00BC45AC" w:rsidRPr="004C25DE" w:rsidRDefault="00BC45AC" w:rsidP="00BC45AC">
      <w:pPr>
        <w:rPr>
          <w:lang w:val="fr-FR"/>
        </w:rPr>
      </w:pPr>
    </w:p>
    <w:p w:rsidR="00BC45AC" w:rsidRPr="004C25DE" w:rsidRDefault="00BC45AC">
      <w:pPr>
        <w:rPr>
          <w:lang w:val="fr-FR"/>
        </w:rPr>
      </w:pPr>
    </w:p>
    <w:sectPr w:rsidR="00BC45AC" w:rsidRPr="004C25DE" w:rsidSect="00BC4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5090"/>
    <w:multiLevelType w:val="hybridMultilevel"/>
    <w:tmpl w:val="C060C8CE"/>
    <w:lvl w:ilvl="0" w:tplc="FAF64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E0C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2D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F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E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44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4A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AC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8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9C"/>
    <w:rsid w:val="00490AFE"/>
    <w:rsid w:val="004C25DE"/>
    <w:rsid w:val="0052563D"/>
    <w:rsid w:val="00762E3B"/>
    <w:rsid w:val="00BC45AC"/>
    <w:rsid w:val="00CE6F9C"/>
    <w:rsid w:val="00D741E7"/>
    <w:rsid w:val="00E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A94D4-5002-4500-9F39-0060267A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4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5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5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4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Cowley</dc:creator>
  <cp:keywords/>
  <dc:description/>
  <cp:lastModifiedBy>Saint-Just</cp:lastModifiedBy>
  <cp:revision>4</cp:revision>
  <dcterms:created xsi:type="dcterms:W3CDTF">2016-05-03T17:51:00Z</dcterms:created>
  <dcterms:modified xsi:type="dcterms:W3CDTF">2016-05-03T18:22:00Z</dcterms:modified>
</cp:coreProperties>
</file>