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DD" w:rsidRPr="000407B1" w:rsidRDefault="000407B1">
      <w:pPr>
        <w:rPr>
          <w:b/>
          <w:sz w:val="24"/>
          <w:szCs w:val="24"/>
        </w:rPr>
      </w:pPr>
      <w:r w:rsidRPr="000407B1">
        <w:rPr>
          <w:b/>
          <w:sz w:val="24"/>
          <w:szCs w:val="24"/>
        </w:rPr>
        <w:t>Monitoring MBRRR</w:t>
      </w:r>
    </w:p>
    <w:p w:rsidR="000407B1" w:rsidRDefault="000407B1">
      <w:r>
        <w:rPr>
          <w:b/>
        </w:rPr>
        <w:t xml:space="preserve">MBRRR </w:t>
      </w:r>
      <w:r w:rsidRPr="000407B1">
        <w:rPr>
          <w:b/>
        </w:rPr>
        <w:t>Indicators</w:t>
      </w:r>
      <w:r>
        <w:t>:</w:t>
      </w:r>
    </w:p>
    <w:p w:rsidR="000407B1" w:rsidRPr="001F77CC" w:rsidRDefault="000407B1" w:rsidP="000407B1">
      <w:pPr>
        <w:numPr>
          <w:ilvl w:val="0"/>
          <w:numId w:val="1"/>
        </w:numPr>
        <w:spacing w:after="0"/>
        <w:rPr>
          <w:rFonts w:eastAsia="Calibri" w:cs="Times New Roman"/>
        </w:rPr>
      </w:pPr>
      <w:r w:rsidRPr="001F77CC">
        <w:rPr>
          <w:rFonts w:eastAsia="Calibri" w:cs="Times New Roman"/>
          <w:i/>
          <w:iCs/>
        </w:rPr>
        <w:t xml:space="preserve">% of Final Evaluations (and/or Real Time Evaluations &amp; After Action Reviews as appropriate) that report a high level [to be defined] of </w:t>
      </w:r>
      <w:r w:rsidRPr="001F77CC">
        <w:rPr>
          <w:rFonts w:eastAsia="Calibri" w:cs="Times New Roman"/>
          <w:b/>
          <w:bCs/>
          <w:i/>
          <w:iCs/>
        </w:rPr>
        <w:t xml:space="preserve">community (male and female) satisfaction </w:t>
      </w:r>
      <w:r w:rsidRPr="001F77CC">
        <w:rPr>
          <w:rFonts w:eastAsia="Calibri" w:cs="Times New Roman"/>
          <w:i/>
          <w:iCs/>
        </w:rPr>
        <w:t xml:space="preserve">related to the </w:t>
      </w:r>
      <w:r w:rsidRPr="001F77CC">
        <w:rPr>
          <w:rFonts w:eastAsia="Calibri" w:cs="Times New Roman"/>
          <w:b/>
          <w:bCs/>
          <w:i/>
          <w:iCs/>
        </w:rPr>
        <w:t xml:space="preserve">timeliness, appropriateness, effectiveness </w:t>
      </w:r>
      <w:r w:rsidRPr="001F77CC">
        <w:rPr>
          <w:rFonts w:eastAsia="Calibri" w:cs="Times New Roman"/>
          <w:i/>
          <w:iCs/>
        </w:rPr>
        <w:t xml:space="preserve">of the response </w:t>
      </w:r>
    </w:p>
    <w:p w:rsidR="000407B1" w:rsidRPr="001F77CC" w:rsidRDefault="000407B1" w:rsidP="000407B1">
      <w:pPr>
        <w:numPr>
          <w:ilvl w:val="0"/>
          <w:numId w:val="1"/>
        </w:numPr>
        <w:spacing w:after="0"/>
        <w:rPr>
          <w:rFonts w:eastAsia="Calibri" w:cs="Times New Roman"/>
        </w:rPr>
      </w:pPr>
      <w:r w:rsidRPr="001F77CC">
        <w:rPr>
          <w:rFonts w:eastAsia="Calibri" w:cs="Times New Roman"/>
          <w:i/>
          <w:iCs/>
        </w:rPr>
        <w:t xml:space="preserve">% of ERR projects that are </w:t>
      </w:r>
      <w:r w:rsidRPr="001F77CC">
        <w:rPr>
          <w:rFonts w:eastAsia="Calibri" w:cs="Times New Roman"/>
          <w:b/>
          <w:bCs/>
          <w:i/>
          <w:iCs/>
        </w:rPr>
        <w:t xml:space="preserve">based on gender-disaggregated emergency situational assessment </w:t>
      </w:r>
      <w:r w:rsidRPr="001F77CC">
        <w:rPr>
          <w:rFonts w:eastAsia="Calibri" w:cs="Times New Roman"/>
          <w:i/>
          <w:iCs/>
        </w:rPr>
        <w:t xml:space="preserve">and </w:t>
      </w:r>
      <w:r w:rsidRPr="001F77CC">
        <w:rPr>
          <w:rFonts w:eastAsia="Calibri" w:cs="Times New Roman"/>
          <w:b/>
          <w:bCs/>
          <w:i/>
          <w:iCs/>
        </w:rPr>
        <w:t xml:space="preserve">community consultation </w:t>
      </w:r>
      <w:r w:rsidRPr="001F77CC">
        <w:rPr>
          <w:rFonts w:eastAsia="Calibri" w:cs="Times New Roman"/>
          <w:i/>
          <w:iCs/>
        </w:rPr>
        <w:t xml:space="preserve">in the design </w:t>
      </w:r>
    </w:p>
    <w:p w:rsidR="000407B1" w:rsidRPr="001F77CC" w:rsidRDefault="000407B1" w:rsidP="000407B1">
      <w:pPr>
        <w:numPr>
          <w:ilvl w:val="0"/>
          <w:numId w:val="1"/>
        </w:numPr>
        <w:spacing w:after="0"/>
        <w:rPr>
          <w:rFonts w:eastAsia="Calibri" w:cs="Times New Roman"/>
        </w:rPr>
      </w:pPr>
      <w:r w:rsidRPr="001F77CC">
        <w:rPr>
          <w:rFonts w:eastAsia="Calibri" w:cs="Times New Roman"/>
          <w:i/>
          <w:iCs/>
        </w:rPr>
        <w:t xml:space="preserve">% of ERR projects that are </w:t>
      </w:r>
      <w:r w:rsidRPr="001F77CC">
        <w:rPr>
          <w:rFonts w:eastAsia="Calibri" w:cs="Times New Roman"/>
          <w:b/>
          <w:bCs/>
          <w:i/>
          <w:iCs/>
        </w:rPr>
        <w:t xml:space="preserve">based on a market assessment and response analysis </w:t>
      </w:r>
    </w:p>
    <w:p w:rsidR="000407B1" w:rsidRPr="001F77CC" w:rsidRDefault="000407B1" w:rsidP="000407B1">
      <w:pPr>
        <w:numPr>
          <w:ilvl w:val="0"/>
          <w:numId w:val="1"/>
        </w:numPr>
        <w:spacing w:after="0"/>
        <w:rPr>
          <w:rFonts w:eastAsia="Calibri" w:cs="Times New Roman"/>
        </w:rPr>
      </w:pPr>
      <w:r w:rsidRPr="001F77CC">
        <w:rPr>
          <w:rFonts w:eastAsia="Calibri" w:cs="Times New Roman"/>
          <w:b/>
          <w:bCs/>
          <w:i/>
          <w:iCs/>
        </w:rPr>
        <w:t xml:space="preserve">Value of cash or vouchers </w:t>
      </w:r>
      <w:r w:rsidRPr="001F77CC">
        <w:rPr>
          <w:rFonts w:eastAsia="Calibri" w:cs="Times New Roman"/>
          <w:i/>
          <w:iCs/>
        </w:rPr>
        <w:t>used by beneficiaries in local markets</w:t>
      </w:r>
    </w:p>
    <w:p w:rsidR="000407B1" w:rsidRDefault="000407B1"/>
    <w:p w:rsidR="000407B1" w:rsidRPr="000407B1" w:rsidRDefault="000407B1">
      <w:pPr>
        <w:rPr>
          <w:b/>
        </w:rPr>
      </w:pPr>
      <w:r w:rsidRPr="000407B1">
        <w:rPr>
          <w:b/>
        </w:rPr>
        <w:t>Account codes:</w:t>
      </w:r>
    </w:p>
    <w:p w:rsidR="000407B1" w:rsidRPr="000407B1" w:rsidRDefault="000407B1" w:rsidP="000407B1">
      <w:pPr>
        <w:rPr>
          <w:b/>
          <w:bCs/>
        </w:rPr>
      </w:pPr>
      <w:r w:rsidRPr="000407B1">
        <w:rPr>
          <w:b/>
          <w:bCs/>
          <w:u w:val="single"/>
        </w:rPr>
        <w:t>Account Code 6110</w:t>
      </w:r>
      <w:r w:rsidRPr="000407B1">
        <w:rPr>
          <w:b/>
          <w:bCs/>
        </w:rPr>
        <w:t xml:space="preserve"> </w:t>
      </w:r>
      <w:r w:rsidRPr="000407B1">
        <w:rPr>
          <w:b/>
          <w:bCs/>
          <w:i/>
          <w:iCs/>
        </w:rPr>
        <w:t>(Implementation by CRS)</w:t>
      </w:r>
    </w:p>
    <w:p w:rsidR="000407B1" w:rsidRPr="000407B1" w:rsidRDefault="000407B1" w:rsidP="000407B1">
      <w:r w:rsidRPr="000407B1">
        <w:t>Amounts paid by CRS directly to participants, t</w:t>
      </w:r>
      <w:bookmarkStart w:id="0" w:name="_GoBack"/>
      <w:bookmarkEnd w:id="0"/>
      <w:r w:rsidRPr="000407B1">
        <w:t xml:space="preserve">heir designated agents or suppliers in voucher and cash grant programs in conjunction with projects conducted by CRS without </w:t>
      </w:r>
      <w:proofErr w:type="spellStart"/>
      <w:r w:rsidRPr="000407B1">
        <w:t>subrecipient</w:t>
      </w:r>
      <w:proofErr w:type="spellEnd"/>
      <w:r w:rsidRPr="000407B1">
        <w:t xml:space="preserve"> assistance. </w:t>
      </w:r>
      <w:r w:rsidRPr="000407B1">
        <w:rPr>
          <w:b/>
          <w:bCs/>
        </w:rPr>
        <w:t>The amount charged to this code is the value of the voucher/cash grant and does not include related costs of voucher printing, fair materials, transport, bank fees, etc. which should be charged to A/C 6106 Project Materials.</w:t>
      </w:r>
      <w:r w:rsidRPr="000407B1">
        <w:t>  In these cases the beneficiaries receive the cash, goods or services through cash grants or vouchers, while agents/ suppliers receive the value of redeemed vouchers. </w:t>
      </w:r>
    </w:p>
    <w:p w:rsidR="000407B1" w:rsidRPr="000407B1" w:rsidRDefault="000407B1" w:rsidP="000407B1">
      <w:pPr>
        <w:rPr>
          <w:b/>
          <w:bCs/>
        </w:rPr>
      </w:pPr>
      <w:r w:rsidRPr="000407B1">
        <w:rPr>
          <w:b/>
          <w:bCs/>
          <w:u w:val="single"/>
        </w:rPr>
        <w:t>Account Code 6168</w:t>
      </w:r>
      <w:r w:rsidRPr="000407B1">
        <w:rPr>
          <w:b/>
          <w:bCs/>
        </w:rPr>
        <w:t xml:space="preserve"> </w:t>
      </w:r>
      <w:r w:rsidRPr="000407B1">
        <w:rPr>
          <w:b/>
          <w:bCs/>
          <w:i/>
          <w:iCs/>
        </w:rPr>
        <w:t>(Implementation by partners)</w:t>
      </w:r>
    </w:p>
    <w:p w:rsidR="000407B1" w:rsidRPr="000407B1" w:rsidRDefault="000407B1" w:rsidP="000407B1">
      <w:r w:rsidRPr="000407B1">
        <w:t xml:space="preserve">Amounts paid by CRS' </w:t>
      </w:r>
      <w:proofErr w:type="spellStart"/>
      <w:r w:rsidRPr="000407B1">
        <w:t>subrecipients</w:t>
      </w:r>
      <w:proofErr w:type="spellEnd"/>
      <w:r w:rsidRPr="000407B1">
        <w:t xml:space="preserve"> directly to participants, their designated agents or suppliers in voucher and cash grant programs. </w:t>
      </w:r>
      <w:r w:rsidRPr="000407B1">
        <w:rPr>
          <w:b/>
          <w:bCs/>
        </w:rPr>
        <w:t xml:space="preserve">The amount charged to this code is the value of the voucher/cash grant and does not include related costs of voucher printing, fair materials, transport, bank fees, etc. which should be charged to A/C 6162 </w:t>
      </w:r>
      <w:proofErr w:type="spellStart"/>
      <w:r w:rsidRPr="000407B1">
        <w:rPr>
          <w:b/>
          <w:bCs/>
        </w:rPr>
        <w:t>Subrecipients</w:t>
      </w:r>
      <w:proofErr w:type="spellEnd"/>
      <w:r w:rsidRPr="000407B1">
        <w:rPr>
          <w:b/>
          <w:bCs/>
        </w:rPr>
        <w:t xml:space="preserve"> Project Materials Purchases.</w:t>
      </w:r>
      <w:r w:rsidRPr="000407B1">
        <w:t xml:space="preserve"> In these cases the beneficiaries receive the cash, goods or services through cash grants or vouchers, while agents/ suppliers receive the value of redeemed vouchers. </w:t>
      </w:r>
    </w:p>
    <w:p w:rsidR="000407B1" w:rsidRDefault="000407B1"/>
    <w:sectPr w:rsidR="000407B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803" w:rsidRDefault="00122803" w:rsidP="00871FAA">
      <w:pPr>
        <w:spacing w:after="0" w:line="240" w:lineRule="auto"/>
      </w:pPr>
      <w:r>
        <w:separator/>
      </w:r>
    </w:p>
  </w:endnote>
  <w:endnote w:type="continuationSeparator" w:id="0">
    <w:p w:rsidR="00122803" w:rsidRDefault="00122803" w:rsidP="00871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803" w:rsidRDefault="00122803" w:rsidP="00871FAA">
      <w:pPr>
        <w:spacing w:after="0" w:line="240" w:lineRule="auto"/>
      </w:pPr>
      <w:r>
        <w:separator/>
      </w:r>
    </w:p>
  </w:footnote>
  <w:footnote w:type="continuationSeparator" w:id="0">
    <w:p w:rsidR="00122803" w:rsidRDefault="00122803" w:rsidP="00871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AA" w:rsidRDefault="00871FAA" w:rsidP="00871FAA">
    <w:pPr>
      <w:pStyle w:val="Header"/>
      <w:jc w:val="right"/>
    </w:pPr>
    <w:r>
      <w:t>Handout 1.1.1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F3E24"/>
    <w:multiLevelType w:val="hybridMultilevel"/>
    <w:tmpl w:val="41E44786"/>
    <w:lvl w:ilvl="0" w:tplc="3C18E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E6B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6D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70D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AA1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767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8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769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62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B1"/>
    <w:rsid w:val="000407B1"/>
    <w:rsid w:val="00122803"/>
    <w:rsid w:val="00871FAA"/>
    <w:rsid w:val="009D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FAA"/>
  </w:style>
  <w:style w:type="paragraph" w:styleId="Footer">
    <w:name w:val="footer"/>
    <w:basedOn w:val="Normal"/>
    <w:link w:val="FooterChar"/>
    <w:uiPriority w:val="99"/>
    <w:unhideWhenUsed/>
    <w:rsid w:val="00871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FAA"/>
  </w:style>
  <w:style w:type="paragraph" w:styleId="BalloonText">
    <w:name w:val="Balloon Text"/>
    <w:basedOn w:val="Normal"/>
    <w:link w:val="BalloonTextChar"/>
    <w:uiPriority w:val="99"/>
    <w:semiHidden/>
    <w:unhideWhenUsed/>
    <w:rsid w:val="0087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FAA"/>
  </w:style>
  <w:style w:type="paragraph" w:styleId="Footer">
    <w:name w:val="footer"/>
    <w:basedOn w:val="Normal"/>
    <w:link w:val="FooterChar"/>
    <w:uiPriority w:val="99"/>
    <w:unhideWhenUsed/>
    <w:rsid w:val="00871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FAA"/>
  </w:style>
  <w:style w:type="paragraph" w:styleId="BalloonText">
    <w:name w:val="Balloon Text"/>
    <w:basedOn w:val="Normal"/>
    <w:link w:val="BalloonTextChar"/>
    <w:uiPriority w:val="99"/>
    <w:semiHidden/>
    <w:unhideWhenUsed/>
    <w:rsid w:val="0087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Brick, Geraldine (Dina)</dc:creator>
  <cp:lastModifiedBy>Brick, Geraldine (Dina)</cp:lastModifiedBy>
  <cp:revision>3</cp:revision>
  <dcterms:created xsi:type="dcterms:W3CDTF">2015-01-26T20:29:00Z</dcterms:created>
  <dcterms:modified xsi:type="dcterms:W3CDTF">2015-01-26T21:02:00Z</dcterms:modified>
</cp:coreProperties>
</file>