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3EE1" w14:textId="0F0C8157" w:rsidR="00B24671" w:rsidRPr="00645C32" w:rsidRDefault="00645C32" w:rsidP="00645C32">
      <w:pPr>
        <w:spacing w:before="0" w:after="0" w:line="240" w:lineRule="auto"/>
        <w:textAlignment w:val="baseline"/>
        <w:rPr>
          <w:rFonts w:ascii="Arial" w:eastAsia="Times New Roman" w:hAnsi="Arial" w:cs="Arial"/>
          <w:color w:val="0070C0"/>
          <w:sz w:val="28"/>
          <w:szCs w:val="28"/>
          <w:lang w:eastAsia="en-GB" w:bidi="ar-SA"/>
        </w:rPr>
      </w:pPr>
      <w:r>
        <w:rPr>
          <w:rFonts w:ascii="Arial" w:eastAsia="Times New Roman" w:hAnsi="Arial" w:cs="Arial"/>
          <w:color w:val="0070C0"/>
          <w:sz w:val="28"/>
          <w:szCs w:val="28"/>
          <w:lang w:eastAsia="en-GB" w:bidi="ar-SA"/>
        </w:rPr>
        <w:t xml:space="preserve">HO 4.5 </w:t>
      </w:r>
      <w:r w:rsidR="00B24671" w:rsidRPr="00645C32">
        <w:rPr>
          <w:rFonts w:ascii="Arial" w:eastAsia="Times New Roman" w:hAnsi="Arial" w:cs="Arial"/>
          <w:color w:val="0070C0"/>
          <w:sz w:val="28"/>
          <w:szCs w:val="28"/>
          <w:lang w:eastAsia="en-GB" w:bidi="ar-SA"/>
        </w:rPr>
        <w:t>Police Checks</w:t>
      </w:r>
      <w:r>
        <w:rPr>
          <w:rFonts w:ascii="Arial" w:eastAsia="Times New Roman" w:hAnsi="Arial" w:cs="Arial"/>
          <w:color w:val="0070C0"/>
          <w:sz w:val="28"/>
          <w:szCs w:val="28"/>
          <w:lang w:eastAsia="en-GB" w:bidi="ar-SA"/>
        </w:rPr>
        <w:t xml:space="preserve"> (</w:t>
      </w:r>
      <w:r w:rsidRPr="00645C32">
        <w:rPr>
          <w:rFonts w:ascii="Arial" w:eastAsia="Times New Roman" w:hAnsi="Arial" w:cs="Arial"/>
          <w:color w:val="0070C0"/>
          <w:sz w:val="28"/>
          <w:szCs w:val="28"/>
          <w:lang w:eastAsia="en-GB" w:bidi="ar-SA"/>
        </w:rPr>
        <w:t>CAFOD</w:t>
      </w:r>
      <w:r>
        <w:rPr>
          <w:rFonts w:ascii="Arial" w:eastAsia="Times New Roman" w:hAnsi="Arial" w:cs="Arial"/>
          <w:color w:val="0070C0"/>
          <w:sz w:val="28"/>
          <w:szCs w:val="28"/>
          <w:lang w:eastAsia="en-GB" w:bidi="ar-SA"/>
        </w:rPr>
        <w:t>)</w:t>
      </w:r>
    </w:p>
    <w:p w14:paraId="778AC108" w14:textId="77777777" w:rsidR="00B24671" w:rsidRPr="00716B6C" w:rsidRDefault="00B24671" w:rsidP="00663326">
      <w:pPr>
        <w:tabs>
          <w:tab w:val="left" w:pos="3090"/>
        </w:tabs>
        <w:rPr>
          <w:rFonts w:ascii="Arial" w:hAnsi="Arial" w:cs="Arial"/>
          <w:b/>
          <w:u w:val="single"/>
          <w:lang w:val="en-GB"/>
        </w:rPr>
      </w:pPr>
    </w:p>
    <w:p w14:paraId="4D1CBA4D" w14:textId="172813C2" w:rsidR="00663326" w:rsidRPr="00716B6C" w:rsidRDefault="00663326" w:rsidP="00645C32">
      <w:pPr>
        <w:tabs>
          <w:tab w:val="left" w:pos="3090"/>
        </w:tabs>
        <w:jc w:val="both"/>
        <w:rPr>
          <w:rFonts w:ascii="Arial" w:hAnsi="Arial" w:cs="Arial"/>
          <w:b/>
          <w:u w:val="single"/>
          <w:lang w:val="en-GB"/>
        </w:rPr>
      </w:pPr>
      <w:r w:rsidRPr="00716B6C">
        <w:rPr>
          <w:rFonts w:ascii="Arial" w:hAnsi="Arial" w:cs="Arial"/>
          <w:b/>
          <w:u w:val="single"/>
          <w:lang w:val="en-GB"/>
        </w:rPr>
        <w:t xml:space="preserve">Police Clearance </w:t>
      </w:r>
      <w:r w:rsidR="00217FE6" w:rsidRPr="00716B6C">
        <w:rPr>
          <w:rFonts w:ascii="Arial" w:hAnsi="Arial" w:cs="Arial"/>
          <w:b/>
          <w:u w:val="single"/>
          <w:lang w:val="en-GB"/>
        </w:rPr>
        <w:t>/</w:t>
      </w:r>
      <w:r w:rsidRPr="00716B6C">
        <w:rPr>
          <w:rFonts w:ascii="Arial" w:hAnsi="Arial" w:cs="Arial"/>
          <w:b/>
          <w:u w:val="single"/>
          <w:lang w:val="en-GB"/>
        </w:rPr>
        <w:t xml:space="preserve">Certificate of a good character also known as Criminal Records Check </w:t>
      </w:r>
    </w:p>
    <w:p w14:paraId="0202F5D7" w14:textId="469DF606" w:rsidR="00615DD5" w:rsidRPr="00716B6C" w:rsidRDefault="00663326" w:rsidP="00645C32">
      <w:pPr>
        <w:jc w:val="both"/>
        <w:rPr>
          <w:rFonts w:ascii="Arial" w:hAnsi="Arial" w:cs="Arial"/>
          <w:lang w:val="en-GB"/>
        </w:rPr>
      </w:pPr>
      <w:r w:rsidRPr="00716B6C">
        <w:rPr>
          <w:rFonts w:ascii="Arial" w:hAnsi="Arial" w:cs="Arial"/>
          <w:lang w:val="en-GB"/>
        </w:rPr>
        <w:t xml:space="preserve">This guidance should be read in conjunction with </w:t>
      </w:r>
      <w:hyperlink r:id="rId10" w:history="1">
        <w:r w:rsidRPr="00716B6C">
          <w:rPr>
            <w:rStyle w:val="Hyperlink"/>
            <w:rFonts w:ascii="Arial" w:hAnsi="Arial" w:cs="Arial"/>
            <w:lang w:val="en-GB"/>
          </w:rPr>
          <w:t>CAFOD’s Safe Recruitment Policy</w:t>
        </w:r>
      </w:hyperlink>
      <w:r w:rsidRPr="00716B6C">
        <w:rPr>
          <w:rFonts w:ascii="Arial" w:hAnsi="Arial" w:cs="Arial"/>
          <w:lang w:val="en-GB"/>
        </w:rPr>
        <w:t xml:space="preserve"> in recruitment guidance in the </w:t>
      </w:r>
      <w:hyperlink r:id="rId11" w:history="1">
        <w:r w:rsidRPr="00716B6C">
          <w:rPr>
            <w:rStyle w:val="Hyperlink"/>
            <w:rFonts w:ascii="Arial" w:hAnsi="Arial" w:cs="Arial"/>
            <w:lang w:val="en-GB"/>
          </w:rPr>
          <w:t>Recruitment toolkit</w:t>
        </w:r>
      </w:hyperlink>
      <w:r w:rsidRPr="00716B6C">
        <w:rPr>
          <w:rFonts w:ascii="Arial" w:hAnsi="Arial" w:cs="Arial"/>
          <w:lang w:val="en-GB"/>
        </w:rPr>
        <w:t xml:space="preserve"> .</w:t>
      </w:r>
    </w:p>
    <w:p w14:paraId="456D0F3F" w14:textId="77777777" w:rsidR="00663326" w:rsidRPr="00716B6C" w:rsidRDefault="00663326" w:rsidP="00645C32">
      <w:pPr>
        <w:jc w:val="both"/>
        <w:rPr>
          <w:rFonts w:ascii="Arial" w:hAnsi="Arial" w:cs="Arial"/>
          <w:lang w:val="en-GB"/>
        </w:rPr>
      </w:pPr>
      <w:r w:rsidRPr="00716B6C">
        <w:rPr>
          <w:rFonts w:ascii="Arial" w:hAnsi="Arial" w:cs="Arial"/>
          <w:lang w:val="en-GB"/>
        </w:rPr>
        <w:t xml:space="preserve">1)Identified Posts Requiring a safeguarding Check </w:t>
      </w:r>
    </w:p>
    <w:p w14:paraId="12508417" w14:textId="0F3037B9" w:rsidR="00615DD5" w:rsidRPr="00716B6C" w:rsidRDefault="00615DD5" w:rsidP="00645C32">
      <w:pPr>
        <w:jc w:val="both"/>
        <w:rPr>
          <w:rFonts w:ascii="Arial" w:hAnsi="Arial" w:cs="Arial"/>
          <w:lang w:val="en-GB"/>
        </w:rPr>
      </w:pPr>
      <w:proofErr w:type="gramStart"/>
      <w:r w:rsidRPr="00716B6C">
        <w:rPr>
          <w:rFonts w:ascii="Arial" w:hAnsi="Arial" w:cs="Arial"/>
          <w:lang w:val="en-GB"/>
        </w:rPr>
        <w:t>In the near future</w:t>
      </w:r>
      <w:proofErr w:type="gramEnd"/>
      <w:r w:rsidRPr="00716B6C">
        <w:rPr>
          <w:rFonts w:ascii="Arial" w:hAnsi="Arial" w:cs="Arial"/>
          <w:lang w:val="en-GB"/>
        </w:rPr>
        <w:t xml:space="preserve"> there will be an established list of safeguarding-vetted posts on SIMBA. In the meantime, Country Offices are discussing which posts require which police checks, with their HR Adviser. For countries which have been given the go ahead to pilot test this process please refer to the list that has been agreed by the Country Reps and HR Adviser.</w:t>
      </w:r>
    </w:p>
    <w:p w14:paraId="77C9478F" w14:textId="32300D68" w:rsidR="00663326" w:rsidRPr="00716B6C" w:rsidRDefault="00663326" w:rsidP="00645C32">
      <w:pPr>
        <w:jc w:val="both"/>
        <w:rPr>
          <w:rFonts w:ascii="Arial" w:hAnsi="Arial" w:cs="Arial"/>
          <w:b/>
          <w:u w:val="single"/>
          <w:lang w:val="en-GB"/>
        </w:rPr>
      </w:pPr>
      <w:r w:rsidRPr="00716B6C">
        <w:rPr>
          <w:rFonts w:ascii="Arial" w:hAnsi="Arial" w:cs="Arial"/>
          <w:b/>
          <w:u w:val="single"/>
          <w:lang w:val="en-GB"/>
        </w:rPr>
        <w:t>When new posts are created</w:t>
      </w:r>
    </w:p>
    <w:p w14:paraId="7FCB3B2C" w14:textId="77777777" w:rsidR="00663326" w:rsidRPr="00716B6C" w:rsidRDefault="00663326" w:rsidP="00645C32">
      <w:pPr>
        <w:jc w:val="both"/>
        <w:rPr>
          <w:rFonts w:ascii="Arial" w:hAnsi="Arial" w:cs="Arial"/>
          <w:lang w:val="en-GB"/>
        </w:rPr>
      </w:pPr>
      <w:r w:rsidRPr="00716B6C">
        <w:rPr>
          <w:rFonts w:ascii="Arial" w:hAnsi="Arial" w:cs="Arial"/>
          <w:lang w:val="en-GB"/>
        </w:rPr>
        <w:t>When a manager is creating a new post, the following steps will ensure the Safeguarding process takes place:</w:t>
      </w:r>
    </w:p>
    <w:p w14:paraId="32A9FB80" w14:textId="609C6170" w:rsidR="00663326" w:rsidRPr="00716B6C" w:rsidRDefault="00663326" w:rsidP="00645C32">
      <w:pPr>
        <w:jc w:val="both"/>
        <w:rPr>
          <w:rFonts w:ascii="Arial" w:hAnsi="Arial" w:cs="Arial"/>
          <w:lang w:val="en-GB"/>
        </w:rPr>
      </w:pPr>
      <w:r w:rsidRPr="00716B6C">
        <w:rPr>
          <w:rFonts w:ascii="Arial" w:hAnsi="Arial" w:cs="Arial"/>
          <w:b/>
          <w:lang w:val="en-GB"/>
        </w:rPr>
        <w:t>a)</w:t>
      </w:r>
      <w:r w:rsidRPr="00716B6C">
        <w:rPr>
          <w:rFonts w:ascii="Arial" w:hAnsi="Arial" w:cs="Arial"/>
          <w:lang w:val="en-GB"/>
        </w:rPr>
        <w:t xml:space="preserve"> During the banding discussion with the manager, a discussion should also happen with the HR Adviser about whether this new post is a safeguarding</w:t>
      </w:r>
      <w:r w:rsidR="00760941" w:rsidRPr="00716B6C">
        <w:rPr>
          <w:rFonts w:ascii="Arial" w:hAnsi="Arial" w:cs="Arial"/>
          <w:lang w:val="en-GB"/>
        </w:rPr>
        <w:t>-vetted</w:t>
      </w:r>
      <w:r w:rsidRPr="00716B6C">
        <w:rPr>
          <w:rFonts w:ascii="Arial" w:hAnsi="Arial" w:cs="Arial"/>
          <w:lang w:val="en-GB"/>
        </w:rPr>
        <w:t xml:space="preserve"> post</w:t>
      </w:r>
      <w:r w:rsidR="00760941" w:rsidRPr="00716B6C">
        <w:rPr>
          <w:rFonts w:ascii="Arial" w:hAnsi="Arial" w:cs="Arial"/>
          <w:lang w:val="en-GB"/>
        </w:rPr>
        <w:t>. In other words, whether it requires a police check and self-declaration form.</w:t>
      </w:r>
      <w:r w:rsidRPr="00716B6C">
        <w:rPr>
          <w:rFonts w:ascii="Arial" w:hAnsi="Arial" w:cs="Arial"/>
          <w:lang w:val="en-GB"/>
        </w:rPr>
        <w:t xml:space="preserve"> If the HRA and Manager are unsure they should seek guidance from one of CAFOD’s two Safeguarding Advisers. </w:t>
      </w:r>
    </w:p>
    <w:p w14:paraId="3E22225C" w14:textId="659FA8F9" w:rsidR="00663326" w:rsidRPr="00716B6C" w:rsidRDefault="00663326" w:rsidP="00645C32">
      <w:pPr>
        <w:jc w:val="both"/>
        <w:rPr>
          <w:rFonts w:ascii="Arial" w:hAnsi="Arial" w:cs="Arial"/>
          <w:lang w:val="en-GB"/>
        </w:rPr>
      </w:pPr>
      <w:r w:rsidRPr="00716B6C">
        <w:rPr>
          <w:rFonts w:ascii="Arial" w:hAnsi="Arial" w:cs="Arial"/>
          <w:b/>
          <w:lang w:val="en-GB"/>
        </w:rPr>
        <w:t>b)</w:t>
      </w:r>
      <w:r w:rsidRPr="00716B6C">
        <w:rPr>
          <w:rFonts w:ascii="Arial" w:hAnsi="Arial" w:cs="Arial"/>
          <w:lang w:val="en-GB"/>
        </w:rPr>
        <w:t xml:space="preserve"> If the new post </w:t>
      </w:r>
      <w:r w:rsidR="00760941" w:rsidRPr="00716B6C">
        <w:rPr>
          <w:rFonts w:ascii="Arial" w:hAnsi="Arial" w:cs="Arial"/>
          <w:lang w:val="en-GB"/>
        </w:rPr>
        <w:t>requires a new police check and self-declaration</w:t>
      </w:r>
      <w:r w:rsidRPr="00716B6C">
        <w:rPr>
          <w:rFonts w:ascii="Arial" w:hAnsi="Arial" w:cs="Arial"/>
          <w:lang w:val="en-GB"/>
        </w:rPr>
        <w:t xml:space="preserve"> </w:t>
      </w:r>
      <w:r w:rsidR="00BC2DAA" w:rsidRPr="00716B6C">
        <w:rPr>
          <w:rFonts w:ascii="Arial" w:hAnsi="Arial" w:cs="Arial"/>
          <w:lang w:val="en-GB"/>
        </w:rPr>
        <w:t xml:space="preserve">form </w:t>
      </w:r>
      <w:r w:rsidRPr="00716B6C">
        <w:rPr>
          <w:rFonts w:ascii="Arial" w:hAnsi="Arial" w:cs="Arial"/>
          <w:lang w:val="en-GB"/>
        </w:rPr>
        <w:t xml:space="preserve">– the manager needs to tick </w:t>
      </w:r>
      <w:proofErr w:type="gramStart"/>
      <w:r w:rsidRPr="00716B6C">
        <w:rPr>
          <w:rFonts w:ascii="Arial" w:hAnsi="Arial" w:cs="Arial"/>
          <w:lang w:val="en-GB"/>
        </w:rPr>
        <w:t>th</w:t>
      </w:r>
      <w:r w:rsidR="00BC2DAA" w:rsidRPr="00716B6C">
        <w:rPr>
          <w:rFonts w:ascii="Arial" w:hAnsi="Arial" w:cs="Arial"/>
          <w:lang w:val="en-GB"/>
        </w:rPr>
        <w:t>e  correct</w:t>
      </w:r>
      <w:proofErr w:type="gramEnd"/>
      <w:r w:rsidR="00BC2DAA" w:rsidRPr="00716B6C">
        <w:rPr>
          <w:rFonts w:ascii="Arial" w:hAnsi="Arial" w:cs="Arial"/>
          <w:lang w:val="en-GB"/>
        </w:rPr>
        <w:t xml:space="preserve"> Disclosure level field </w:t>
      </w:r>
      <w:r w:rsidRPr="00716B6C">
        <w:rPr>
          <w:rFonts w:ascii="Arial" w:hAnsi="Arial" w:cs="Arial"/>
          <w:lang w:val="en-GB"/>
        </w:rPr>
        <w:t>on SIMBA, when they are creating the post.</w:t>
      </w:r>
    </w:p>
    <w:p w14:paraId="3E8CFA7D" w14:textId="39CEF17B" w:rsidR="00663326" w:rsidRPr="00716B6C" w:rsidRDefault="00663326" w:rsidP="00645C32">
      <w:pPr>
        <w:jc w:val="both"/>
        <w:rPr>
          <w:rFonts w:ascii="Arial" w:hAnsi="Arial" w:cs="Arial"/>
          <w:lang w:val="en-GB"/>
        </w:rPr>
      </w:pPr>
      <w:r w:rsidRPr="00716B6C">
        <w:rPr>
          <w:rFonts w:ascii="Arial" w:hAnsi="Arial" w:cs="Arial"/>
          <w:b/>
          <w:lang w:val="en-GB"/>
        </w:rPr>
        <w:t>c)</w:t>
      </w:r>
      <w:r w:rsidRPr="00716B6C">
        <w:rPr>
          <w:rFonts w:ascii="Arial" w:hAnsi="Arial" w:cs="Arial"/>
          <w:lang w:val="en-GB"/>
        </w:rPr>
        <w:t xml:space="preserve"> The HR Adviser is responsible for checking that the manager has ‘ticked’ </w:t>
      </w:r>
      <w:r w:rsidR="00BC2DAA" w:rsidRPr="00716B6C">
        <w:rPr>
          <w:rFonts w:ascii="Arial" w:hAnsi="Arial" w:cs="Arial"/>
          <w:lang w:val="en-GB"/>
        </w:rPr>
        <w:t>the Disclosure Level</w:t>
      </w:r>
      <w:r w:rsidR="00323DA2" w:rsidRPr="00716B6C">
        <w:rPr>
          <w:rFonts w:ascii="Arial" w:hAnsi="Arial" w:cs="Arial"/>
          <w:lang w:val="en-GB"/>
        </w:rPr>
        <w:t xml:space="preserve"> correctly</w:t>
      </w:r>
      <w:r w:rsidRPr="00716B6C">
        <w:rPr>
          <w:rFonts w:ascii="Arial" w:hAnsi="Arial" w:cs="Arial"/>
          <w:lang w:val="en-GB"/>
        </w:rPr>
        <w:t>, when their alert for the new post comes through</w:t>
      </w:r>
      <w:r w:rsidR="00BC2DAA" w:rsidRPr="00716B6C">
        <w:rPr>
          <w:rFonts w:ascii="Arial" w:hAnsi="Arial" w:cs="Arial"/>
          <w:lang w:val="en-GB"/>
        </w:rPr>
        <w:t xml:space="preserve"> on SIMBA</w:t>
      </w:r>
      <w:r w:rsidRPr="00716B6C">
        <w:rPr>
          <w:rFonts w:ascii="Arial" w:hAnsi="Arial" w:cs="Arial"/>
          <w:lang w:val="en-GB"/>
        </w:rPr>
        <w:t>.</w:t>
      </w:r>
    </w:p>
    <w:p w14:paraId="417269CC" w14:textId="3CE0AB7E" w:rsidR="00663326" w:rsidRPr="00716B6C" w:rsidRDefault="00663326" w:rsidP="00645C32">
      <w:pPr>
        <w:jc w:val="both"/>
        <w:rPr>
          <w:rFonts w:ascii="Arial" w:hAnsi="Arial" w:cs="Arial"/>
          <w:lang w:val="en-GB"/>
        </w:rPr>
      </w:pPr>
      <w:r w:rsidRPr="00716B6C">
        <w:rPr>
          <w:rFonts w:ascii="Arial" w:hAnsi="Arial" w:cs="Arial"/>
          <w:b/>
          <w:lang w:val="en-GB"/>
        </w:rPr>
        <w:t>d)</w:t>
      </w:r>
      <w:r w:rsidRPr="00716B6C">
        <w:rPr>
          <w:rFonts w:ascii="Arial" w:hAnsi="Arial" w:cs="Arial"/>
          <w:lang w:val="en-GB"/>
        </w:rPr>
        <w:t xml:space="preserve"> This post will then be automatically added to the Safeguarding Posts list on SIMBA</w:t>
      </w:r>
      <w:r w:rsidR="00217FE6" w:rsidRPr="00716B6C">
        <w:rPr>
          <w:rFonts w:ascii="Arial" w:hAnsi="Arial" w:cs="Arial"/>
          <w:lang w:val="en-GB"/>
        </w:rPr>
        <w:t>.</w:t>
      </w:r>
      <w:r w:rsidRPr="00716B6C">
        <w:rPr>
          <w:rFonts w:ascii="Arial" w:hAnsi="Arial" w:cs="Arial"/>
          <w:lang w:val="en-GB"/>
        </w:rPr>
        <w:t xml:space="preserve"> (assuming the manager ticked the box as per point b)</w:t>
      </w:r>
    </w:p>
    <w:p w14:paraId="5D518F86" w14:textId="77777777" w:rsidR="00663326" w:rsidRPr="00716B6C" w:rsidRDefault="00663326" w:rsidP="00645C32">
      <w:pPr>
        <w:jc w:val="both"/>
        <w:rPr>
          <w:rFonts w:ascii="Arial" w:hAnsi="Arial" w:cs="Arial"/>
          <w:lang w:val="en-GB"/>
        </w:rPr>
      </w:pPr>
    </w:p>
    <w:p w14:paraId="1CFBEE69" w14:textId="1257A378" w:rsidR="00663326" w:rsidRPr="00716B6C" w:rsidRDefault="00663326" w:rsidP="00645C32">
      <w:pPr>
        <w:jc w:val="both"/>
        <w:rPr>
          <w:rFonts w:ascii="Arial" w:hAnsi="Arial" w:cs="Arial"/>
          <w:b/>
          <w:u w:val="single"/>
          <w:lang w:val="en-GB"/>
        </w:rPr>
      </w:pPr>
      <w:r w:rsidRPr="00716B6C">
        <w:rPr>
          <w:rFonts w:ascii="Arial" w:hAnsi="Arial" w:cs="Arial"/>
          <w:b/>
          <w:u w:val="single"/>
          <w:lang w:val="en-GB"/>
        </w:rPr>
        <w:t>2)</w:t>
      </w:r>
      <w:r w:rsidR="006C5331" w:rsidRPr="00716B6C">
        <w:rPr>
          <w:rFonts w:ascii="Arial" w:hAnsi="Arial" w:cs="Arial"/>
          <w:b/>
          <w:u w:val="single"/>
          <w:lang w:val="en-GB"/>
        </w:rPr>
        <w:t xml:space="preserve"> </w:t>
      </w:r>
      <w:r w:rsidRPr="00716B6C">
        <w:rPr>
          <w:rFonts w:ascii="Arial" w:hAnsi="Arial" w:cs="Arial"/>
          <w:b/>
          <w:u w:val="single"/>
          <w:lang w:val="en-GB"/>
        </w:rPr>
        <w:t>When the manager is making an offer:</w:t>
      </w:r>
    </w:p>
    <w:p w14:paraId="07F5E6BF" w14:textId="30448DAE" w:rsidR="00663326" w:rsidRPr="00716B6C" w:rsidRDefault="00663326" w:rsidP="00645C32">
      <w:pPr>
        <w:jc w:val="both"/>
        <w:rPr>
          <w:rFonts w:ascii="Arial" w:hAnsi="Arial" w:cs="Arial"/>
          <w:lang w:val="en-GB"/>
        </w:rPr>
      </w:pPr>
      <w:r w:rsidRPr="00716B6C">
        <w:rPr>
          <w:rFonts w:ascii="Arial" w:hAnsi="Arial" w:cs="Arial"/>
          <w:b/>
          <w:lang w:val="en-GB"/>
        </w:rPr>
        <w:t>a)</w:t>
      </w:r>
      <w:r w:rsidR="00217FE6" w:rsidRPr="00716B6C">
        <w:rPr>
          <w:rFonts w:ascii="Arial" w:hAnsi="Arial" w:cs="Arial"/>
          <w:lang w:val="en-GB"/>
        </w:rPr>
        <w:t xml:space="preserve"> </w:t>
      </w:r>
      <w:r w:rsidRPr="00716B6C">
        <w:rPr>
          <w:rFonts w:ascii="Arial" w:hAnsi="Arial" w:cs="Arial"/>
          <w:lang w:val="en-GB"/>
        </w:rPr>
        <w:t>The manager should tick ‘DBS/Police check’ when completing the formal offer form/SIMBA offer form</w:t>
      </w:r>
      <w:r w:rsidR="00217FE6" w:rsidRPr="00716B6C">
        <w:rPr>
          <w:rFonts w:ascii="Arial" w:hAnsi="Arial" w:cs="Arial"/>
          <w:lang w:val="en-GB"/>
        </w:rPr>
        <w:t xml:space="preserve"> or change of employment details form.</w:t>
      </w:r>
    </w:p>
    <w:p w14:paraId="7FA1F47D" w14:textId="50FC08D4" w:rsidR="00663326" w:rsidRPr="00716B6C" w:rsidRDefault="00663326" w:rsidP="00645C32">
      <w:pPr>
        <w:jc w:val="both"/>
        <w:rPr>
          <w:rFonts w:ascii="Arial" w:hAnsi="Arial" w:cs="Arial"/>
          <w:lang w:val="en-GB"/>
        </w:rPr>
      </w:pPr>
      <w:r w:rsidRPr="00716B6C">
        <w:rPr>
          <w:rFonts w:ascii="Arial" w:hAnsi="Arial" w:cs="Arial"/>
          <w:b/>
          <w:lang w:val="en-GB"/>
        </w:rPr>
        <w:t>b)</w:t>
      </w:r>
      <w:r w:rsidR="00217FE6" w:rsidRPr="00716B6C">
        <w:rPr>
          <w:rFonts w:ascii="Arial" w:hAnsi="Arial" w:cs="Arial"/>
          <w:lang w:val="en-GB"/>
        </w:rPr>
        <w:t xml:space="preserve"> </w:t>
      </w:r>
      <w:r w:rsidRPr="00716B6C">
        <w:rPr>
          <w:rFonts w:ascii="Arial" w:hAnsi="Arial" w:cs="Arial"/>
          <w:lang w:val="en-GB"/>
        </w:rPr>
        <w:t xml:space="preserve">The HRST/HRFP should check whether this has been ticked and compare this to the SIMBA safeguarding post list. </w:t>
      </w:r>
    </w:p>
    <w:p w14:paraId="032D6E14" w14:textId="6FEB84D4" w:rsidR="00663326" w:rsidRPr="00716B6C" w:rsidRDefault="00663326" w:rsidP="00645C32">
      <w:pPr>
        <w:jc w:val="both"/>
        <w:rPr>
          <w:rFonts w:ascii="Arial" w:hAnsi="Arial" w:cs="Arial"/>
          <w:lang w:val="en-GB"/>
        </w:rPr>
      </w:pPr>
      <w:r w:rsidRPr="00716B6C">
        <w:rPr>
          <w:rFonts w:ascii="Arial" w:hAnsi="Arial" w:cs="Arial"/>
          <w:b/>
          <w:lang w:val="en-GB"/>
        </w:rPr>
        <w:t>c)</w:t>
      </w:r>
      <w:r w:rsidR="00217FE6" w:rsidRPr="00716B6C">
        <w:rPr>
          <w:rFonts w:ascii="Arial" w:hAnsi="Arial" w:cs="Arial"/>
          <w:lang w:val="en-GB"/>
        </w:rPr>
        <w:t xml:space="preserve"> </w:t>
      </w:r>
      <w:r w:rsidRPr="00716B6C">
        <w:rPr>
          <w:rFonts w:ascii="Arial" w:hAnsi="Arial" w:cs="Arial"/>
          <w:lang w:val="en-GB"/>
        </w:rPr>
        <w:t>If the manager has ticked ‘DBS/Police Check’ but the post isn’t a safeguarding post on SIMBA, then the HRST/HRFP should raise this with the manager and HR Adviser.</w:t>
      </w:r>
    </w:p>
    <w:p w14:paraId="00E4A2C0" w14:textId="49CBE251" w:rsidR="00663326" w:rsidRPr="00716B6C" w:rsidRDefault="00663326" w:rsidP="00645C32">
      <w:pPr>
        <w:jc w:val="both"/>
        <w:rPr>
          <w:rFonts w:ascii="Arial" w:hAnsi="Arial" w:cs="Arial"/>
          <w:lang w:val="en-GB"/>
        </w:rPr>
      </w:pPr>
      <w:r w:rsidRPr="00716B6C">
        <w:rPr>
          <w:rFonts w:ascii="Arial" w:hAnsi="Arial" w:cs="Arial"/>
          <w:b/>
          <w:lang w:val="en-GB"/>
        </w:rPr>
        <w:t>d)</w:t>
      </w:r>
      <w:r w:rsidRPr="00716B6C">
        <w:rPr>
          <w:rFonts w:ascii="Arial" w:hAnsi="Arial" w:cs="Arial"/>
          <w:lang w:val="en-GB"/>
        </w:rPr>
        <w:t>If the manager has not ticked ‘DBS/Police check’ but on SIMBA, the post is on the safeguarding post list, then the HRST/HRFP should raise this with the manager and HR Adviser.</w:t>
      </w:r>
    </w:p>
    <w:p w14:paraId="2DB62727" w14:textId="075EF7E7" w:rsidR="00217FE6" w:rsidRPr="00716B6C" w:rsidRDefault="00217FE6" w:rsidP="00645C32">
      <w:pPr>
        <w:jc w:val="both"/>
        <w:rPr>
          <w:rFonts w:ascii="Arial" w:hAnsi="Arial" w:cs="Arial"/>
          <w:lang w:val="en-GB"/>
        </w:rPr>
      </w:pPr>
      <w:r w:rsidRPr="00716B6C">
        <w:rPr>
          <w:rFonts w:ascii="Arial" w:hAnsi="Arial" w:cs="Arial"/>
          <w:b/>
          <w:lang w:val="en-GB"/>
        </w:rPr>
        <w:t>e)</w:t>
      </w:r>
      <w:r w:rsidRPr="00716B6C">
        <w:rPr>
          <w:rFonts w:ascii="Arial" w:hAnsi="Arial" w:cs="Arial"/>
          <w:lang w:val="en-GB"/>
        </w:rPr>
        <w:t xml:space="preserve"> In the event where the candidate or current staff are not able to obtain a police clearance then a self-declaration needs to be completed. </w:t>
      </w:r>
    </w:p>
    <w:p w14:paraId="345932B0" w14:textId="77777777" w:rsidR="006C5331" w:rsidRPr="00716B6C" w:rsidRDefault="006C5331" w:rsidP="00645C32">
      <w:pPr>
        <w:jc w:val="both"/>
        <w:rPr>
          <w:rFonts w:ascii="Arial" w:hAnsi="Arial" w:cs="Arial"/>
          <w:lang w:val="en-GB"/>
        </w:rPr>
      </w:pPr>
    </w:p>
    <w:p w14:paraId="087A2D05" w14:textId="77777777" w:rsidR="006C5331" w:rsidRPr="00716B6C" w:rsidRDefault="006C5331" w:rsidP="00645C32">
      <w:pPr>
        <w:jc w:val="both"/>
        <w:rPr>
          <w:rFonts w:ascii="Arial" w:hAnsi="Arial" w:cs="Arial"/>
          <w:lang w:val="en-GB"/>
        </w:rPr>
      </w:pPr>
    </w:p>
    <w:p w14:paraId="7FB24FCB" w14:textId="5CFA46C7" w:rsidR="00663326" w:rsidRPr="00716B6C" w:rsidRDefault="00663326" w:rsidP="00645C32">
      <w:pPr>
        <w:jc w:val="both"/>
        <w:rPr>
          <w:rFonts w:ascii="Arial" w:hAnsi="Arial" w:cs="Arial"/>
          <w:b/>
          <w:u w:val="single"/>
          <w:lang w:val="en-GB"/>
        </w:rPr>
      </w:pPr>
      <w:r w:rsidRPr="00716B6C">
        <w:rPr>
          <w:rFonts w:ascii="Arial" w:hAnsi="Arial" w:cs="Arial"/>
          <w:b/>
          <w:lang w:val="en-GB"/>
        </w:rPr>
        <w:lastRenderedPageBreak/>
        <w:t>3)</w:t>
      </w:r>
      <w:r w:rsidR="006C5331" w:rsidRPr="00716B6C">
        <w:rPr>
          <w:rFonts w:ascii="Arial" w:hAnsi="Arial" w:cs="Arial"/>
          <w:b/>
          <w:lang w:val="en-GB"/>
        </w:rPr>
        <w:t xml:space="preserve"> </w:t>
      </w:r>
      <w:r w:rsidRPr="00716B6C">
        <w:rPr>
          <w:rFonts w:ascii="Arial" w:hAnsi="Arial" w:cs="Arial"/>
          <w:b/>
          <w:u w:val="single"/>
          <w:lang w:val="en-GB"/>
        </w:rPr>
        <w:t>Obtaining a Police check for a new candidate/</w:t>
      </w:r>
      <w:r w:rsidR="006C5331" w:rsidRPr="00716B6C">
        <w:rPr>
          <w:rFonts w:ascii="Arial" w:hAnsi="Arial" w:cs="Arial"/>
          <w:b/>
          <w:u w:val="single"/>
          <w:lang w:val="en-GB"/>
        </w:rPr>
        <w:t xml:space="preserve">current </w:t>
      </w:r>
      <w:r w:rsidRPr="00716B6C">
        <w:rPr>
          <w:rFonts w:ascii="Arial" w:hAnsi="Arial" w:cs="Arial"/>
          <w:b/>
          <w:u w:val="single"/>
          <w:lang w:val="en-GB"/>
        </w:rPr>
        <w:t>staff member</w:t>
      </w:r>
    </w:p>
    <w:p w14:paraId="46618E36" w14:textId="1481D849" w:rsidR="006C5331" w:rsidRPr="00716B6C" w:rsidRDefault="006C5331" w:rsidP="00645C32">
      <w:pPr>
        <w:jc w:val="both"/>
        <w:rPr>
          <w:rFonts w:ascii="Arial" w:hAnsi="Arial" w:cs="Arial"/>
          <w:b/>
          <w:lang w:val="en-GB"/>
        </w:rPr>
      </w:pPr>
      <w:r w:rsidRPr="00716B6C">
        <w:rPr>
          <w:rFonts w:ascii="Arial" w:hAnsi="Arial" w:cs="Arial"/>
          <w:b/>
          <w:lang w:val="en-GB"/>
        </w:rPr>
        <w:t>Police Checks:</w:t>
      </w:r>
    </w:p>
    <w:p w14:paraId="79D2F291" w14:textId="5439BF02" w:rsidR="00217FE6" w:rsidRPr="00716B6C" w:rsidRDefault="00217FE6" w:rsidP="00645C32">
      <w:pPr>
        <w:jc w:val="both"/>
        <w:rPr>
          <w:rFonts w:ascii="Arial" w:hAnsi="Arial" w:cs="Arial"/>
          <w:lang w:val="en-GB"/>
        </w:rPr>
      </w:pPr>
      <w:r w:rsidRPr="00716B6C">
        <w:rPr>
          <w:rFonts w:ascii="Arial" w:hAnsi="Arial" w:cs="Arial"/>
          <w:lang w:val="en-GB"/>
        </w:rPr>
        <w:t xml:space="preserve">HR focal point will need to include in the offer letter to state that </w:t>
      </w:r>
      <w:r w:rsidRPr="00716B6C">
        <w:rPr>
          <w:rFonts w:ascii="Arial" w:hAnsi="Arial" w:cs="Arial"/>
          <w:b/>
          <w:lang w:val="en-GB"/>
        </w:rPr>
        <w:t xml:space="preserve">the offer </w:t>
      </w:r>
      <w:bookmarkStart w:id="0" w:name="_GoBack"/>
      <w:r w:rsidRPr="00716B6C">
        <w:rPr>
          <w:rFonts w:ascii="Arial" w:hAnsi="Arial" w:cs="Arial"/>
          <w:b/>
          <w:lang w:val="en-GB"/>
        </w:rPr>
        <w:t xml:space="preserve">will </w:t>
      </w:r>
      <w:bookmarkEnd w:id="0"/>
      <w:r w:rsidRPr="00716B6C">
        <w:rPr>
          <w:rFonts w:ascii="Arial" w:hAnsi="Arial" w:cs="Arial"/>
          <w:b/>
          <w:lang w:val="en-GB"/>
        </w:rPr>
        <w:t>be subject to a police clearance</w:t>
      </w:r>
      <w:r w:rsidRPr="00716B6C">
        <w:rPr>
          <w:rFonts w:ascii="Arial" w:hAnsi="Arial" w:cs="Arial"/>
          <w:lang w:val="en-GB"/>
        </w:rPr>
        <w:t xml:space="preserve">. </w:t>
      </w:r>
    </w:p>
    <w:p w14:paraId="4BBCD6FD" w14:textId="77777777" w:rsidR="00217FE6" w:rsidRPr="00716B6C" w:rsidRDefault="00217FE6" w:rsidP="00645C32">
      <w:pPr>
        <w:jc w:val="both"/>
        <w:rPr>
          <w:rFonts w:ascii="Arial" w:hAnsi="Arial" w:cs="Arial"/>
          <w:lang w:val="en-GB"/>
        </w:rPr>
      </w:pPr>
      <w:r w:rsidRPr="00716B6C">
        <w:rPr>
          <w:rFonts w:ascii="Arial" w:hAnsi="Arial" w:cs="Arial"/>
          <w:lang w:val="en-GB"/>
        </w:rPr>
        <w:t xml:space="preserve">Police checks will apply when Safeguarding posts are not based in the UK, or when someone is moving to the UK to start a safeguarding post with CAFOD. The method for obtaining a police check will vary in each country. Some guidance can be found here: </w:t>
      </w:r>
      <w:hyperlink r:id="rId12" w:history="1">
        <w:r w:rsidRPr="00716B6C">
          <w:rPr>
            <w:rStyle w:val="Hyperlink"/>
            <w:rFonts w:ascii="Arial" w:hAnsi="Arial" w:cs="Arial"/>
            <w:lang w:val="en-GB"/>
          </w:rPr>
          <w:t>https://www.gov.uk/government/publications/criminal-records-checks-for-overseas-applicants</w:t>
        </w:r>
      </w:hyperlink>
    </w:p>
    <w:p w14:paraId="2E1C059D" w14:textId="77777777" w:rsidR="00663326" w:rsidRPr="00716B6C" w:rsidRDefault="00663326" w:rsidP="00645C32">
      <w:pPr>
        <w:jc w:val="both"/>
        <w:rPr>
          <w:rFonts w:ascii="Arial" w:hAnsi="Arial" w:cs="Arial"/>
          <w:b/>
          <w:lang w:val="en-GB"/>
        </w:rPr>
      </w:pPr>
      <w:r w:rsidRPr="00716B6C">
        <w:rPr>
          <w:rFonts w:ascii="Arial" w:hAnsi="Arial" w:cs="Arial"/>
          <w:b/>
          <w:lang w:val="en-GB"/>
        </w:rPr>
        <w:t>Self-Declaration forms:</w:t>
      </w:r>
    </w:p>
    <w:p w14:paraId="514109D0" w14:textId="485AD2AB" w:rsidR="00323DA2" w:rsidRPr="00716B6C" w:rsidRDefault="00323DA2" w:rsidP="002F7141">
      <w:pPr>
        <w:jc w:val="both"/>
        <w:rPr>
          <w:rFonts w:ascii="Arial" w:hAnsi="Arial" w:cs="Arial"/>
          <w:b/>
          <w:lang w:val="en-GB"/>
        </w:rPr>
      </w:pPr>
      <w:r w:rsidRPr="00716B6C">
        <w:rPr>
          <w:rFonts w:ascii="Arial" w:hAnsi="Arial" w:cs="Arial"/>
          <w:b/>
          <w:lang w:val="en-GB"/>
        </w:rPr>
        <w:t>N.B. please check in your country that we are legally allowed to ask the questions on this form</w:t>
      </w:r>
    </w:p>
    <w:p w14:paraId="04102870" w14:textId="4490C9BA" w:rsidR="00663326" w:rsidRPr="00716B6C" w:rsidRDefault="00663326" w:rsidP="00645C32">
      <w:pPr>
        <w:jc w:val="both"/>
        <w:rPr>
          <w:rFonts w:ascii="Arial" w:hAnsi="Arial" w:cs="Arial"/>
          <w:lang w:val="en-GB"/>
        </w:rPr>
      </w:pPr>
      <w:r w:rsidRPr="00716B6C">
        <w:rPr>
          <w:rFonts w:ascii="Arial" w:hAnsi="Arial" w:cs="Arial"/>
          <w:lang w:val="en-GB"/>
        </w:rPr>
        <w:t xml:space="preserve">Candidates and staff members obtaining police checks will also be required to sign a self-declaration form. Staff signing a self-declaration form should return this in a sealed envelope to their safeguarding rep, HR Focal Point or HR Services Officer. If the person receiving this envelope is one of the </w:t>
      </w:r>
      <w:proofErr w:type="gramStart"/>
      <w:r w:rsidRPr="00716B6C">
        <w:rPr>
          <w:rFonts w:ascii="Arial" w:hAnsi="Arial" w:cs="Arial"/>
          <w:lang w:val="en-GB"/>
        </w:rPr>
        <w:t>above</w:t>
      </w:r>
      <w:proofErr w:type="gramEnd"/>
      <w:r w:rsidRPr="00716B6C">
        <w:rPr>
          <w:rFonts w:ascii="Arial" w:hAnsi="Arial" w:cs="Arial"/>
          <w:lang w:val="en-GB"/>
        </w:rPr>
        <w:t xml:space="preserve"> they should open it an</w:t>
      </w:r>
      <w:r w:rsidR="001C6E19" w:rsidRPr="00716B6C">
        <w:rPr>
          <w:rFonts w:ascii="Arial" w:hAnsi="Arial" w:cs="Arial"/>
          <w:lang w:val="en-GB"/>
        </w:rPr>
        <w:t>d</w:t>
      </w:r>
      <w:r w:rsidRPr="00716B6C">
        <w:rPr>
          <w:rFonts w:ascii="Arial" w:hAnsi="Arial" w:cs="Arial"/>
          <w:lang w:val="en-GB"/>
        </w:rPr>
        <w:t xml:space="preserve"> check for any concerns. </w:t>
      </w:r>
    </w:p>
    <w:p w14:paraId="38E75A73" w14:textId="1E85C96B" w:rsidR="00323DA2" w:rsidRPr="00716B6C" w:rsidRDefault="00323DA2" w:rsidP="00645C32">
      <w:pPr>
        <w:jc w:val="both"/>
        <w:rPr>
          <w:rFonts w:ascii="Arial" w:hAnsi="Arial" w:cs="Arial"/>
          <w:b/>
          <w:lang w:val="en-GB"/>
        </w:rPr>
      </w:pPr>
      <w:r w:rsidRPr="00716B6C">
        <w:rPr>
          <w:rFonts w:ascii="Arial" w:hAnsi="Arial" w:cs="Arial"/>
          <w:b/>
          <w:lang w:val="en-GB"/>
        </w:rPr>
        <w:t>Once Police Checks and Self-declaration forms have been returned.</w:t>
      </w:r>
    </w:p>
    <w:p w14:paraId="5BE2D07A" w14:textId="51DF4B50" w:rsidR="00BC2DAA" w:rsidRPr="00716B6C" w:rsidRDefault="00323DA2" w:rsidP="00645C32">
      <w:pPr>
        <w:jc w:val="both"/>
        <w:rPr>
          <w:rFonts w:ascii="Arial" w:hAnsi="Arial" w:cs="Arial"/>
          <w:u w:val="single"/>
          <w:lang w:val="en-GB"/>
        </w:rPr>
      </w:pPr>
      <w:r w:rsidRPr="00716B6C">
        <w:rPr>
          <w:rFonts w:ascii="Arial" w:hAnsi="Arial" w:cs="Arial"/>
          <w:u w:val="single"/>
          <w:lang w:val="en-GB"/>
        </w:rPr>
        <w:t>The HR Focal Point</w:t>
      </w:r>
      <w:r w:rsidR="006C5331" w:rsidRPr="00716B6C">
        <w:rPr>
          <w:rFonts w:ascii="Arial" w:hAnsi="Arial" w:cs="Arial"/>
          <w:u w:val="single"/>
          <w:lang w:val="en-GB"/>
        </w:rPr>
        <w:t xml:space="preserve"> or HR Services Officer</w:t>
      </w:r>
      <w:r w:rsidRPr="00716B6C">
        <w:rPr>
          <w:rFonts w:ascii="Arial" w:hAnsi="Arial" w:cs="Arial"/>
          <w:u w:val="single"/>
          <w:lang w:val="en-GB"/>
        </w:rPr>
        <w:t xml:space="preserve"> should take the following approach</w:t>
      </w:r>
      <w:r w:rsidR="00BC2DAA" w:rsidRPr="00716B6C">
        <w:rPr>
          <w:rFonts w:ascii="Arial" w:hAnsi="Arial" w:cs="Arial"/>
          <w:u w:val="single"/>
          <w:lang w:val="en-GB"/>
        </w:rPr>
        <w:t>:</w:t>
      </w:r>
    </w:p>
    <w:p w14:paraId="063B3157" w14:textId="77777777" w:rsidR="00BC2DAA" w:rsidRPr="00716B6C" w:rsidRDefault="00BC2DAA" w:rsidP="00645C32">
      <w:pPr>
        <w:pStyle w:val="toolkit-ol-abc"/>
        <w:numPr>
          <w:ilvl w:val="0"/>
          <w:numId w:val="3"/>
        </w:numPr>
        <w:spacing w:after="120"/>
        <w:ind w:right="283"/>
        <w:jc w:val="both"/>
        <w:rPr>
          <w:rFonts w:cs="Arial"/>
        </w:rPr>
      </w:pPr>
      <w:r w:rsidRPr="00716B6C">
        <w:rPr>
          <w:rFonts w:cs="Arial"/>
          <w:b/>
        </w:rPr>
        <w:t xml:space="preserve">Clear check: </w:t>
      </w:r>
      <w:r w:rsidRPr="00716B6C">
        <w:rPr>
          <w:rFonts w:cs="Arial"/>
        </w:rPr>
        <w:t xml:space="preserve">The Police check and </w:t>
      </w:r>
      <w:proofErr w:type="spellStart"/>
      <w:r w:rsidRPr="00716B6C">
        <w:rPr>
          <w:rFonts w:cs="Arial"/>
        </w:rPr>
        <w:t>self declaration</w:t>
      </w:r>
      <w:proofErr w:type="spellEnd"/>
      <w:r w:rsidRPr="00716B6C">
        <w:rPr>
          <w:rFonts w:cs="Arial"/>
        </w:rPr>
        <w:t xml:space="preserve"> indicates nothing has been found on the individual’s record. The HR Focal Point/Services Officer will confirm the satisfactory outcome to the line manager and the selection process or confirmation of appointment will continue.</w:t>
      </w:r>
    </w:p>
    <w:p w14:paraId="5A102B57" w14:textId="1E84A2FA" w:rsidR="003D495B" w:rsidRPr="00716B6C" w:rsidRDefault="006C5331" w:rsidP="00645C32">
      <w:pPr>
        <w:pStyle w:val="ListParagraph"/>
        <w:numPr>
          <w:ilvl w:val="0"/>
          <w:numId w:val="3"/>
        </w:numPr>
        <w:jc w:val="both"/>
        <w:rPr>
          <w:rFonts w:cs="Arial"/>
          <w:u w:val="single"/>
        </w:rPr>
      </w:pPr>
      <w:r w:rsidRPr="00716B6C">
        <w:rPr>
          <w:rFonts w:cs="Arial"/>
          <w:b/>
        </w:rPr>
        <w:t>Offence specified:</w:t>
      </w:r>
      <w:r w:rsidRPr="00716B6C">
        <w:rPr>
          <w:rFonts w:cs="Arial"/>
        </w:rPr>
        <w:t xml:space="preserve"> </w:t>
      </w:r>
      <w:r w:rsidR="00BC2DAA" w:rsidRPr="00716B6C">
        <w:rPr>
          <w:rFonts w:cs="Arial"/>
        </w:rPr>
        <w:t>If there is any offence specified within the Self-declaration or Police Check, the HR Focal Point or HR Services officer (UK) should escalate confidentially to their relevant HR Adviser and Safeguarding Adviser.</w:t>
      </w:r>
      <w:r w:rsidR="00BC2DAA" w:rsidRPr="00716B6C">
        <w:rPr>
          <w:rFonts w:cs="Arial"/>
          <w:u w:val="single"/>
        </w:rPr>
        <w:t xml:space="preserve">  </w:t>
      </w:r>
    </w:p>
    <w:p w14:paraId="4AD5F786" w14:textId="0C7CC09B" w:rsidR="00663326" w:rsidRPr="00716B6C" w:rsidRDefault="00663326" w:rsidP="00645C32">
      <w:pPr>
        <w:jc w:val="both"/>
        <w:rPr>
          <w:rFonts w:ascii="Arial" w:hAnsi="Arial" w:cs="Arial"/>
          <w:b/>
          <w:u w:val="single"/>
          <w:lang w:val="en-GB"/>
        </w:rPr>
      </w:pPr>
      <w:r w:rsidRPr="00716B6C">
        <w:rPr>
          <w:rFonts w:ascii="Arial" w:hAnsi="Arial" w:cs="Arial"/>
          <w:b/>
          <w:u w:val="single"/>
          <w:lang w:val="en-GB"/>
        </w:rPr>
        <w:t>4)</w:t>
      </w:r>
      <w:r w:rsidR="006C5331" w:rsidRPr="00716B6C">
        <w:rPr>
          <w:rFonts w:ascii="Arial" w:hAnsi="Arial" w:cs="Arial"/>
          <w:b/>
          <w:u w:val="single"/>
          <w:lang w:val="en-GB"/>
        </w:rPr>
        <w:t xml:space="preserve"> </w:t>
      </w:r>
      <w:r w:rsidRPr="00716B6C">
        <w:rPr>
          <w:rFonts w:ascii="Arial" w:hAnsi="Arial" w:cs="Arial"/>
          <w:b/>
          <w:u w:val="single"/>
          <w:lang w:val="en-GB"/>
        </w:rPr>
        <w:t>Renewing Police check</w:t>
      </w:r>
      <w:r w:rsidR="006C5331" w:rsidRPr="00716B6C">
        <w:rPr>
          <w:rFonts w:ascii="Arial" w:hAnsi="Arial" w:cs="Arial"/>
          <w:b/>
          <w:u w:val="single"/>
          <w:lang w:val="en-GB"/>
        </w:rPr>
        <w:t>s and self-declaration forms</w:t>
      </w:r>
      <w:r w:rsidRPr="00716B6C">
        <w:rPr>
          <w:rFonts w:ascii="Arial" w:hAnsi="Arial" w:cs="Arial"/>
          <w:b/>
          <w:u w:val="single"/>
          <w:lang w:val="en-GB"/>
        </w:rPr>
        <w:t xml:space="preserve"> after 3 years</w:t>
      </w:r>
      <w:r w:rsidR="006C5331" w:rsidRPr="00716B6C">
        <w:rPr>
          <w:rFonts w:ascii="Arial" w:hAnsi="Arial" w:cs="Arial"/>
          <w:b/>
          <w:u w:val="single"/>
          <w:lang w:val="en-GB"/>
        </w:rPr>
        <w:t>:</w:t>
      </w:r>
    </w:p>
    <w:p w14:paraId="7009BD2A" w14:textId="605CC12F" w:rsidR="00663326" w:rsidRPr="00716B6C" w:rsidRDefault="00663326" w:rsidP="00645C32">
      <w:pPr>
        <w:jc w:val="both"/>
        <w:rPr>
          <w:rFonts w:ascii="Arial" w:hAnsi="Arial" w:cs="Arial"/>
          <w:lang w:val="en-GB"/>
        </w:rPr>
      </w:pPr>
      <w:r w:rsidRPr="00716B6C">
        <w:rPr>
          <w:rFonts w:ascii="Arial" w:hAnsi="Arial" w:cs="Arial"/>
          <w:lang w:val="en-GB"/>
        </w:rPr>
        <w:t xml:space="preserve">The same processes above for Police checks and self-declarations, should be followed for each </w:t>
      </w:r>
      <w:r w:rsidR="001C6E19" w:rsidRPr="00716B6C">
        <w:rPr>
          <w:rFonts w:ascii="Arial" w:hAnsi="Arial" w:cs="Arial"/>
          <w:lang w:val="en-GB"/>
        </w:rPr>
        <w:t>staff (for only roles requiring police checks)</w:t>
      </w:r>
      <w:r w:rsidRPr="00716B6C">
        <w:rPr>
          <w:rFonts w:ascii="Arial" w:hAnsi="Arial" w:cs="Arial"/>
          <w:lang w:val="en-GB"/>
        </w:rPr>
        <w:t xml:space="preserve"> every three years.</w:t>
      </w:r>
      <w:r w:rsidR="006C5331" w:rsidRPr="00716B6C">
        <w:rPr>
          <w:rFonts w:ascii="Arial" w:hAnsi="Arial" w:cs="Arial"/>
          <w:lang w:val="en-GB"/>
        </w:rPr>
        <w:t xml:space="preserve"> HR Focal Points and HR Service Officers should monitor when these documents need to be renewed.</w:t>
      </w:r>
    </w:p>
    <w:p w14:paraId="616C1ED5" w14:textId="272B89FD" w:rsidR="006C5331" w:rsidRPr="00716B6C" w:rsidRDefault="006C5331" w:rsidP="00645C32">
      <w:pPr>
        <w:ind w:left="720"/>
        <w:jc w:val="both"/>
        <w:rPr>
          <w:rFonts w:ascii="Arial" w:hAnsi="Arial" w:cs="Arial"/>
          <w:lang w:val="en-GB"/>
        </w:rPr>
      </w:pPr>
      <w:r w:rsidRPr="00716B6C">
        <w:rPr>
          <w:rFonts w:ascii="Arial" w:hAnsi="Arial" w:cs="Arial"/>
          <w:lang w:val="en-GB"/>
        </w:rPr>
        <w:t>N.B. please check in your country whether your police checks expire sooner than 3 years or whether you legally need to adopt a different approach.</w:t>
      </w:r>
    </w:p>
    <w:p w14:paraId="7EE380AE" w14:textId="28F5AC36" w:rsidR="006C5331" w:rsidRPr="00716B6C" w:rsidRDefault="006C5331" w:rsidP="00645C32">
      <w:pPr>
        <w:jc w:val="both"/>
        <w:rPr>
          <w:rFonts w:ascii="Arial" w:hAnsi="Arial" w:cs="Arial"/>
          <w:b/>
          <w:lang w:val="en-GB"/>
        </w:rPr>
      </w:pPr>
      <w:r w:rsidRPr="00716B6C">
        <w:rPr>
          <w:rFonts w:ascii="Arial" w:hAnsi="Arial" w:cs="Arial"/>
          <w:b/>
          <w:lang w:val="en-GB"/>
        </w:rPr>
        <w:t>5) Keeping Police Checks and self-declaration forms on file:</w:t>
      </w:r>
    </w:p>
    <w:p w14:paraId="73DC6C68" w14:textId="5CA209E2" w:rsidR="006C5331" w:rsidRPr="00716B6C" w:rsidRDefault="006C5331" w:rsidP="00645C32">
      <w:pPr>
        <w:jc w:val="both"/>
        <w:rPr>
          <w:rFonts w:ascii="Arial" w:hAnsi="Arial" w:cs="Arial"/>
          <w:b/>
          <w:lang w:val="en-GB"/>
        </w:rPr>
      </w:pPr>
      <w:r w:rsidRPr="00716B6C">
        <w:rPr>
          <w:rFonts w:ascii="Arial" w:hAnsi="Arial" w:cs="Arial"/>
          <w:lang w:val="en-GB"/>
        </w:rPr>
        <w:t xml:space="preserve">These documents should be kept confidentially </w:t>
      </w:r>
      <w:r w:rsidR="00CA581B" w:rsidRPr="00716B6C">
        <w:rPr>
          <w:rFonts w:ascii="Arial" w:hAnsi="Arial" w:cs="Arial"/>
          <w:lang w:val="en-GB"/>
        </w:rPr>
        <w:t xml:space="preserve">in a sealed envelope </w:t>
      </w:r>
      <w:r w:rsidRPr="00716B6C">
        <w:rPr>
          <w:rFonts w:ascii="Arial" w:hAnsi="Arial" w:cs="Arial"/>
          <w:lang w:val="en-GB"/>
        </w:rPr>
        <w:t xml:space="preserve">on </w:t>
      </w:r>
      <w:r w:rsidR="00CA581B" w:rsidRPr="00716B6C">
        <w:rPr>
          <w:rFonts w:ascii="Arial" w:hAnsi="Arial" w:cs="Arial"/>
          <w:lang w:val="en-GB"/>
        </w:rPr>
        <w:t>the person’s paper</w:t>
      </w:r>
      <w:r w:rsidRPr="00716B6C">
        <w:rPr>
          <w:rFonts w:ascii="Arial" w:hAnsi="Arial" w:cs="Arial"/>
          <w:lang w:val="en-GB"/>
        </w:rPr>
        <w:t xml:space="preserve"> personnel files for 3 years (until they are renewed)</w:t>
      </w:r>
      <w:r w:rsidR="00E7353A" w:rsidRPr="00716B6C">
        <w:rPr>
          <w:rFonts w:ascii="Arial" w:hAnsi="Arial" w:cs="Arial"/>
          <w:lang w:val="en-GB"/>
        </w:rPr>
        <w:t>.</w:t>
      </w:r>
      <w:r w:rsidR="00E7353A" w:rsidRPr="00716B6C">
        <w:rPr>
          <w:rFonts w:ascii="Arial" w:hAnsi="Arial" w:cs="Arial"/>
          <w:b/>
          <w:lang w:val="en-GB"/>
        </w:rPr>
        <w:t xml:space="preserve"> </w:t>
      </w:r>
    </w:p>
    <w:p w14:paraId="4F61F958" w14:textId="7CA7816D" w:rsidR="00CA581B" w:rsidRPr="00716B6C" w:rsidRDefault="00CA581B" w:rsidP="00645C32">
      <w:pPr>
        <w:jc w:val="both"/>
        <w:rPr>
          <w:rFonts w:ascii="Arial" w:hAnsi="Arial" w:cs="Arial"/>
          <w:b/>
          <w:lang w:val="en-GB"/>
        </w:rPr>
      </w:pPr>
    </w:p>
    <w:p w14:paraId="411D3858" w14:textId="19076AA7" w:rsidR="00CA581B" w:rsidRPr="00716B6C" w:rsidRDefault="00CA581B" w:rsidP="00645C32">
      <w:pPr>
        <w:jc w:val="both"/>
        <w:rPr>
          <w:rFonts w:ascii="Arial" w:hAnsi="Arial" w:cs="Arial"/>
          <w:b/>
          <w:lang w:val="en-GB"/>
        </w:rPr>
      </w:pPr>
    </w:p>
    <w:p w14:paraId="4C93449C" w14:textId="1D22378F" w:rsidR="00CA581B" w:rsidRPr="00716B6C" w:rsidRDefault="00CA581B" w:rsidP="00645C32">
      <w:pPr>
        <w:jc w:val="both"/>
        <w:rPr>
          <w:rFonts w:ascii="Arial" w:hAnsi="Arial" w:cs="Arial"/>
          <w:b/>
          <w:lang w:val="en-GB"/>
        </w:rPr>
      </w:pPr>
      <w:r w:rsidRPr="00716B6C">
        <w:rPr>
          <w:rFonts w:ascii="Arial" w:hAnsi="Arial" w:cs="Arial"/>
          <w:b/>
          <w:lang w:val="en-GB"/>
        </w:rPr>
        <w:t>FAQs</w:t>
      </w:r>
    </w:p>
    <w:p w14:paraId="2A9C442F" w14:textId="468C8305" w:rsidR="00CA581B" w:rsidRPr="00716B6C" w:rsidRDefault="00CA581B" w:rsidP="00645C32">
      <w:pPr>
        <w:jc w:val="both"/>
        <w:rPr>
          <w:rFonts w:ascii="Arial" w:hAnsi="Arial" w:cs="Arial"/>
          <w:b/>
        </w:rPr>
      </w:pPr>
      <w:r w:rsidRPr="00716B6C">
        <w:rPr>
          <w:rFonts w:ascii="Arial" w:hAnsi="Arial" w:cs="Arial"/>
          <w:b/>
        </w:rPr>
        <w:t>Q - What if I have committed an offense and this is revealed on my police check or self-declaration form?</w:t>
      </w:r>
    </w:p>
    <w:p w14:paraId="608DFBE5" w14:textId="77777777" w:rsidR="00CA581B" w:rsidRPr="00716B6C" w:rsidRDefault="00CA581B" w:rsidP="00645C32">
      <w:pPr>
        <w:jc w:val="both"/>
        <w:rPr>
          <w:rFonts w:ascii="Arial" w:hAnsi="Arial" w:cs="Arial"/>
          <w:b/>
        </w:rPr>
      </w:pPr>
      <w:r w:rsidRPr="00716B6C">
        <w:rPr>
          <w:rFonts w:ascii="Arial" w:hAnsi="Arial" w:cs="Arial"/>
        </w:rPr>
        <w:lastRenderedPageBreak/>
        <w:t xml:space="preserve">A - </w:t>
      </w:r>
      <w:r w:rsidRPr="00716B6C">
        <w:rPr>
          <w:rFonts w:ascii="Arial" w:hAnsi="Arial" w:cs="Arial"/>
          <w:bCs/>
        </w:rPr>
        <w:t xml:space="preserve">HAVING A CRIMINAL RECORD WILL NOT NECESSARILY BAR YOU FROM WORKING FOR CAFOD. </w:t>
      </w:r>
      <w:r w:rsidRPr="00716B6C">
        <w:rPr>
          <w:rFonts w:ascii="Arial" w:hAnsi="Arial" w:cs="Arial"/>
        </w:rPr>
        <w:t>This will</w:t>
      </w:r>
      <w:r w:rsidRPr="00716B6C">
        <w:rPr>
          <w:rFonts w:ascii="Arial" w:hAnsi="Arial" w:cs="Arial"/>
          <w:bCs/>
        </w:rPr>
        <w:t xml:space="preserve"> </w:t>
      </w:r>
      <w:r w:rsidRPr="00716B6C">
        <w:rPr>
          <w:rFonts w:ascii="Arial" w:hAnsi="Arial" w:cs="Arial"/>
        </w:rPr>
        <w:t>depend on</w:t>
      </w:r>
      <w:r w:rsidRPr="00716B6C">
        <w:rPr>
          <w:rFonts w:ascii="Arial" w:hAnsi="Arial" w:cs="Arial"/>
          <w:bCs/>
        </w:rPr>
        <w:t xml:space="preserve"> </w:t>
      </w:r>
      <w:r w:rsidRPr="00716B6C">
        <w:rPr>
          <w:rFonts w:ascii="Arial" w:hAnsi="Arial" w:cs="Arial"/>
        </w:rPr>
        <w:t>the nature and circumstances of the offence and its relevance to the position. If information such as this comes through, then the HR Focal Point should share this only with the safeguarding adviser, who will take this forward on a case by case basis and decide whether this information needs to be shared with the line manager (in liaison with the staff member). And usually a conversation will take place between the staff member and the safeguarding adviser before any further actions are taken. CAFOD will always seek to listen to the staff member and have a full picture before making any decision.</w:t>
      </w:r>
    </w:p>
    <w:p w14:paraId="49ECFE3E" w14:textId="4B719C82" w:rsidR="00CA581B" w:rsidRPr="00716B6C" w:rsidRDefault="00CA581B" w:rsidP="00CA581B">
      <w:pPr>
        <w:rPr>
          <w:rFonts w:ascii="Arial" w:hAnsi="Arial" w:cs="Arial"/>
          <w:b/>
          <w:lang w:val="en-GB"/>
        </w:rPr>
      </w:pPr>
    </w:p>
    <w:p w14:paraId="4059607C" w14:textId="77777777" w:rsidR="00CA581B" w:rsidRPr="00CA581B" w:rsidRDefault="00CA581B" w:rsidP="006C5331">
      <w:pPr>
        <w:rPr>
          <w:rFonts w:ascii="Century Gothic" w:hAnsi="Century Gothic"/>
          <w:b/>
          <w:lang w:val="en-GB"/>
        </w:rPr>
      </w:pPr>
    </w:p>
    <w:sectPr w:rsidR="00CA581B" w:rsidRPr="00CA581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5BFF" w14:textId="77777777" w:rsidR="00564B6B" w:rsidRDefault="00564B6B" w:rsidP="00564B6B">
      <w:pPr>
        <w:spacing w:before="0" w:after="0" w:line="240" w:lineRule="auto"/>
      </w:pPr>
      <w:r>
        <w:separator/>
      </w:r>
    </w:p>
  </w:endnote>
  <w:endnote w:type="continuationSeparator" w:id="0">
    <w:p w14:paraId="26E99361" w14:textId="77777777" w:rsidR="00564B6B" w:rsidRDefault="00564B6B" w:rsidP="00564B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A0BE" w14:textId="33F05D7C" w:rsidR="00564B6B" w:rsidRDefault="00564B6B">
    <w:pPr>
      <w:pStyle w:val="Footer"/>
    </w:pPr>
    <w:r>
      <w:t>© 2019 CAFOD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1619" w14:textId="77777777" w:rsidR="00564B6B" w:rsidRDefault="00564B6B" w:rsidP="00564B6B">
      <w:pPr>
        <w:spacing w:before="0" w:after="0" w:line="240" w:lineRule="auto"/>
      </w:pPr>
      <w:r>
        <w:separator/>
      </w:r>
    </w:p>
  </w:footnote>
  <w:footnote w:type="continuationSeparator" w:id="0">
    <w:p w14:paraId="47899D9A" w14:textId="77777777" w:rsidR="00564B6B" w:rsidRDefault="00564B6B" w:rsidP="00564B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60D1C"/>
    <w:multiLevelType w:val="hybridMultilevel"/>
    <w:tmpl w:val="4846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3D074F"/>
    <w:multiLevelType w:val="hybridMultilevel"/>
    <w:tmpl w:val="56E024A2"/>
    <w:lvl w:ilvl="0" w:tplc="841827F8">
      <w:start w:val="1"/>
      <w:numFmt w:val="lowerLetter"/>
      <w:pStyle w:val="toolkit-ol-abc"/>
      <w:lvlText w:val="%1"/>
      <w:lvlJc w:val="left"/>
      <w:pPr>
        <w:tabs>
          <w:tab w:val="num" w:pos="1418"/>
        </w:tabs>
        <w:ind w:left="1418" w:hanging="284"/>
      </w:pPr>
      <w:rPr>
        <w:rFonts w:ascii="Arial" w:hAnsi="Arial" w:cs="Times New Roman" w:hint="default"/>
        <w:b/>
        <w:i w:val="0"/>
        <w:color w:val="auto"/>
        <w:sz w:val="22"/>
        <w:szCs w:val="22"/>
      </w:rPr>
    </w:lvl>
    <w:lvl w:ilvl="1" w:tplc="9BA6AAEE">
      <w:start w:val="1"/>
      <w:numFmt w:val="decimal"/>
      <w:lvlText w:val="%2."/>
      <w:lvlJc w:val="left"/>
      <w:pPr>
        <w:tabs>
          <w:tab w:val="num" w:pos="1440"/>
        </w:tabs>
        <w:ind w:left="1440" w:hanging="360"/>
      </w:pPr>
    </w:lvl>
    <w:lvl w:ilvl="2" w:tplc="0A56E350">
      <w:start w:val="1"/>
      <w:numFmt w:val="decimal"/>
      <w:lvlText w:val="%3."/>
      <w:lvlJc w:val="left"/>
      <w:pPr>
        <w:tabs>
          <w:tab w:val="num" w:pos="2160"/>
        </w:tabs>
        <w:ind w:left="2160" w:hanging="360"/>
      </w:pPr>
    </w:lvl>
    <w:lvl w:ilvl="3" w:tplc="0F4414FC">
      <w:start w:val="1"/>
      <w:numFmt w:val="decimal"/>
      <w:lvlText w:val="%4."/>
      <w:lvlJc w:val="left"/>
      <w:pPr>
        <w:tabs>
          <w:tab w:val="num" w:pos="2880"/>
        </w:tabs>
        <w:ind w:left="2880" w:hanging="360"/>
      </w:pPr>
    </w:lvl>
    <w:lvl w:ilvl="4" w:tplc="84B8FE1C">
      <w:start w:val="1"/>
      <w:numFmt w:val="decimal"/>
      <w:lvlText w:val="%5."/>
      <w:lvlJc w:val="left"/>
      <w:pPr>
        <w:tabs>
          <w:tab w:val="num" w:pos="3600"/>
        </w:tabs>
        <w:ind w:left="3600" w:hanging="360"/>
      </w:pPr>
    </w:lvl>
    <w:lvl w:ilvl="5" w:tplc="2C480F8A">
      <w:start w:val="1"/>
      <w:numFmt w:val="decimal"/>
      <w:lvlText w:val="%6."/>
      <w:lvlJc w:val="left"/>
      <w:pPr>
        <w:tabs>
          <w:tab w:val="num" w:pos="4320"/>
        </w:tabs>
        <w:ind w:left="4320" w:hanging="360"/>
      </w:pPr>
    </w:lvl>
    <w:lvl w:ilvl="6" w:tplc="6896C2B2">
      <w:start w:val="1"/>
      <w:numFmt w:val="decimal"/>
      <w:lvlText w:val="%7."/>
      <w:lvlJc w:val="left"/>
      <w:pPr>
        <w:tabs>
          <w:tab w:val="num" w:pos="5040"/>
        </w:tabs>
        <w:ind w:left="5040" w:hanging="360"/>
      </w:pPr>
    </w:lvl>
    <w:lvl w:ilvl="7" w:tplc="DA36CA88">
      <w:start w:val="1"/>
      <w:numFmt w:val="decimal"/>
      <w:lvlText w:val="%8."/>
      <w:lvlJc w:val="left"/>
      <w:pPr>
        <w:tabs>
          <w:tab w:val="num" w:pos="5760"/>
        </w:tabs>
        <w:ind w:left="5760" w:hanging="360"/>
      </w:pPr>
    </w:lvl>
    <w:lvl w:ilvl="8" w:tplc="6C6E32DA">
      <w:start w:val="1"/>
      <w:numFmt w:val="decimal"/>
      <w:lvlText w:val="%9."/>
      <w:lvlJc w:val="left"/>
      <w:pPr>
        <w:tabs>
          <w:tab w:val="num" w:pos="6480"/>
        </w:tabs>
        <w:ind w:left="6480" w:hanging="360"/>
      </w:pPr>
    </w:lvl>
  </w:abstractNum>
  <w:abstractNum w:abstractNumId="2" w15:restartNumberingAfterBreak="0">
    <w:nsid w:val="638B0718"/>
    <w:multiLevelType w:val="hybridMultilevel"/>
    <w:tmpl w:val="87343E0C"/>
    <w:lvl w:ilvl="0" w:tplc="0809000F">
      <w:start w:val="1"/>
      <w:numFmt w:val="decimal"/>
      <w:lvlText w:val="%1."/>
      <w:lvlJc w:val="left"/>
      <w:pPr>
        <w:tabs>
          <w:tab w:val="num" w:pos="284"/>
        </w:tabs>
        <w:ind w:left="284" w:hanging="284"/>
      </w:pPr>
      <w:rPr>
        <w:b/>
        <w:i w:val="0"/>
        <w:color w:val="auto"/>
        <w:sz w:val="22"/>
        <w:szCs w:val="22"/>
      </w:rPr>
    </w:lvl>
    <w:lvl w:ilvl="1" w:tplc="9BA6AAEE">
      <w:start w:val="1"/>
      <w:numFmt w:val="decimal"/>
      <w:lvlText w:val="%2."/>
      <w:lvlJc w:val="left"/>
      <w:pPr>
        <w:tabs>
          <w:tab w:val="num" w:pos="306"/>
        </w:tabs>
        <w:ind w:left="306" w:hanging="360"/>
      </w:pPr>
    </w:lvl>
    <w:lvl w:ilvl="2" w:tplc="0A56E350">
      <w:start w:val="1"/>
      <w:numFmt w:val="decimal"/>
      <w:lvlText w:val="%3."/>
      <w:lvlJc w:val="left"/>
      <w:pPr>
        <w:tabs>
          <w:tab w:val="num" w:pos="1026"/>
        </w:tabs>
        <w:ind w:left="1026" w:hanging="360"/>
      </w:pPr>
    </w:lvl>
    <w:lvl w:ilvl="3" w:tplc="0F4414FC">
      <w:start w:val="1"/>
      <w:numFmt w:val="decimal"/>
      <w:lvlText w:val="%4."/>
      <w:lvlJc w:val="left"/>
      <w:pPr>
        <w:tabs>
          <w:tab w:val="num" w:pos="1746"/>
        </w:tabs>
        <w:ind w:left="1746" w:hanging="360"/>
      </w:pPr>
    </w:lvl>
    <w:lvl w:ilvl="4" w:tplc="84B8FE1C">
      <w:start w:val="1"/>
      <w:numFmt w:val="decimal"/>
      <w:lvlText w:val="%5."/>
      <w:lvlJc w:val="left"/>
      <w:pPr>
        <w:tabs>
          <w:tab w:val="num" w:pos="2466"/>
        </w:tabs>
        <w:ind w:left="2466" w:hanging="360"/>
      </w:pPr>
    </w:lvl>
    <w:lvl w:ilvl="5" w:tplc="2C480F8A">
      <w:start w:val="1"/>
      <w:numFmt w:val="decimal"/>
      <w:lvlText w:val="%6."/>
      <w:lvlJc w:val="left"/>
      <w:pPr>
        <w:tabs>
          <w:tab w:val="num" w:pos="3186"/>
        </w:tabs>
        <w:ind w:left="3186" w:hanging="360"/>
      </w:pPr>
    </w:lvl>
    <w:lvl w:ilvl="6" w:tplc="6896C2B2">
      <w:start w:val="1"/>
      <w:numFmt w:val="decimal"/>
      <w:lvlText w:val="%7."/>
      <w:lvlJc w:val="left"/>
      <w:pPr>
        <w:tabs>
          <w:tab w:val="num" w:pos="3906"/>
        </w:tabs>
        <w:ind w:left="3906" w:hanging="360"/>
      </w:pPr>
    </w:lvl>
    <w:lvl w:ilvl="7" w:tplc="DA36CA88">
      <w:start w:val="1"/>
      <w:numFmt w:val="decimal"/>
      <w:lvlText w:val="%8."/>
      <w:lvlJc w:val="left"/>
      <w:pPr>
        <w:tabs>
          <w:tab w:val="num" w:pos="4626"/>
        </w:tabs>
        <w:ind w:left="4626" w:hanging="360"/>
      </w:pPr>
    </w:lvl>
    <w:lvl w:ilvl="8" w:tplc="6C6E32DA">
      <w:start w:val="1"/>
      <w:numFmt w:val="decimal"/>
      <w:lvlText w:val="%9."/>
      <w:lvlJc w:val="left"/>
      <w:pPr>
        <w:tabs>
          <w:tab w:val="num" w:pos="5346"/>
        </w:tabs>
        <w:ind w:left="5346"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26"/>
    <w:rsid w:val="001C6E19"/>
    <w:rsid w:val="00217FE6"/>
    <w:rsid w:val="002F7141"/>
    <w:rsid w:val="00323DA2"/>
    <w:rsid w:val="003D495B"/>
    <w:rsid w:val="0049729E"/>
    <w:rsid w:val="0055294D"/>
    <w:rsid w:val="00564B6B"/>
    <w:rsid w:val="005B00D4"/>
    <w:rsid w:val="00615DD5"/>
    <w:rsid w:val="00645C32"/>
    <w:rsid w:val="00663326"/>
    <w:rsid w:val="006C5331"/>
    <w:rsid w:val="006F421B"/>
    <w:rsid w:val="00716B6C"/>
    <w:rsid w:val="00760941"/>
    <w:rsid w:val="00A46A9A"/>
    <w:rsid w:val="00B01D96"/>
    <w:rsid w:val="00B24671"/>
    <w:rsid w:val="00BC2DAA"/>
    <w:rsid w:val="00CA581B"/>
    <w:rsid w:val="00D13164"/>
    <w:rsid w:val="00DC7D3F"/>
    <w:rsid w:val="00E7353A"/>
    <w:rsid w:val="00EF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6CB9"/>
  <w15:chartTrackingRefBased/>
  <w15:docId w15:val="{00949571-6ABA-4959-AC91-86021A1E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26"/>
    <w:pPr>
      <w:spacing w:before="200" w:after="200" w:line="276" w:lineRule="auto"/>
    </w:pPr>
    <w:rPr>
      <w:rFonts w:eastAsiaTheme="minorEastAsia"/>
      <w:sz w:val="20"/>
      <w:szCs w:val="20"/>
      <w:lang w:val="en-US" w:bidi="en-US"/>
    </w:rPr>
  </w:style>
  <w:style w:type="paragraph" w:styleId="Heading1">
    <w:name w:val="heading 1"/>
    <w:basedOn w:val="Normal"/>
    <w:next w:val="Normal"/>
    <w:link w:val="Heading1Char"/>
    <w:uiPriority w:val="9"/>
    <w:qFormat/>
    <w:rsid w:val="0066332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326"/>
    <w:rPr>
      <w:rFonts w:eastAsiaTheme="minorEastAsia"/>
      <w:b/>
      <w:bCs/>
      <w:caps/>
      <w:color w:val="FFFFFF" w:themeColor="background1"/>
      <w:spacing w:val="15"/>
      <w:shd w:val="clear" w:color="auto" w:fill="4472C4" w:themeFill="accent1"/>
      <w:lang w:val="en-US" w:bidi="en-US"/>
    </w:rPr>
  </w:style>
  <w:style w:type="character" w:styleId="Hyperlink">
    <w:name w:val="Hyperlink"/>
    <w:basedOn w:val="DefaultParagraphFont"/>
    <w:uiPriority w:val="99"/>
    <w:rsid w:val="00663326"/>
    <w:rPr>
      <w:b/>
      <w:color w:val="748F0B"/>
      <w:u w:val="single"/>
    </w:rPr>
  </w:style>
  <w:style w:type="character" w:styleId="UnresolvedMention">
    <w:name w:val="Unresolved Mention"/>
    <w:basedOn w:val="DefaultParagraphFont"/>
    <w:uiPriority w:val="99"/>
    <w:semiHidden/>
    <w:unhideWhenUsed/>
    <w:rsid w:val="00663326"/>
    <w:rPr>
      <w:color w:val="605E5C"/>
      <w:shd w:val="clear" w:color="auto" w:fill="E1DFDD"/>
    </w:rPr>
  </w:style>
  <w:style w:type="character" w:styleId="FollowedHyperlink">
    <w:name w:val="FollowedHyperlink"/>
    <w:basedOn w:val="DefaultParagraphFont"/>
    <w:uiPriority w:val="99"/>
    <w:semiHidden/>
    <w:unhideWhenUsed/>
    <w:rsid w:val="00663326"/>
    <w:rPr>
      <w:color w:val="954F72"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663326"/>
    <w:pPr>
      <w:widowControl w:val="0"/>
      <w:tabs>
        <w:tab w:val="left" w:pos="1418"/>
        <w:tab w:val="right" w:pos="8222"/>
      </w:tabs>
      <w:adjustRightInd w:val="0"/>
      <w:spacing w:before="0" w:after="120" w:line="320" w:lineRule="exact"/>
      <w:ind w:left="720"/>
      <w:contextualSpacing/>
    </w:pPr>
    <w:rPr>
      <w:rFonts w:ascii="Arial" w:eastAsia="Times New Roman" w:hAnsi="Arial" w:cs="Times New Roman"/>
      <w:kern w:val="32"/>
      <w:lang w:val="en-GB" w:eastAsia="en-GB" w:bidi="ar-SA"/>
    </w:rPr>
  </w:style>
  <w:style w:type="character" w:customStyle="1" w:styleId="normaltextrun">
    <w:name w:val="normaltextrun"/>
    <w:basedOn w:val="DefaultParagraphFont"/>
    <w:rsid w:val="00663326"/>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663326"/>
    <w:rPr>
      <w:rFonts w:ascii="Arial" w:eastAsia="Times New Roman" w:hAnsi="Arial" w:cs="Times New Roman"/>
      <w:kern w:val="32"/>
      <w:sz w:val="20"/>
      <w:szCs w:val="20"/>
      <w:lang w:eastAsia="en-GB"/>
    </w:rPr>
  </w:style>
  <w:style w:type="character" w:styleId="CommentReference">
    <w:name w:val="annotation reference"/>
    <w:basedOn w:val="DefaultParagraphFont"/>
    <w:uiPriority w:val="99"/>
    <w:semiHidden/>
    <w:unhideWhenUsed/>
    <w:rsid w:val="00323DA2"/>
    <w:rPr>
      <w:sz w:val="16"/>
      <w:szCs w:val="16"/>
    </w:rPr>
  </w:style>
  <w:style w:type="paragraph" w:styleId="CommentText">
    <w:name w:val="annotation text"/>
    <w:basedOn w:val="Normal"/>
    <w:link w:val="CommentTextChar"/>
    <w:uiPriority w:val="99"/>
    <w:semiHidden/>
    <w:unhideWhenUsed/>
    <w:rsid w:val="00323DA2"/>
    <w:pPr>
      <w:spacing w:line="240" w:lineRule="auto"/>
    </w:pPr>
  </w:style>
  <w:style w:type="character" w:customStyle="1" w:styleId="CommentTextChar">
    <w:name w:val="Comment Text Char"/>
    <w:basedOn w:val="DefaultParagraphFont"/>
    <w:link w:val="CommentText"/>
    <w:uiPriority w:val="99"/>
    <w:semiHidden/>
    <w:rsid w:val="00323DA2"/>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323DA2"/>
    <w:rPr>
      <w:b/>
      <w:bCs/>
    </w:rPr>
  </w:style>
  <w:style w:type="character" w:customStyle="1" w:styleId="CommentSubjectChar">
    <w:name w:val="Comment Subject Char"/>
    <w:basedOn w:val="CommentTextChar"/>
    <w:link w:val="CommentSubject"/>
    <w:uiPriority w:val="99"/>
    <w:semiHidden/>
    <w:rsid w:val="00323DA2"/>
    <w:rPr>
      <w:rFonts w:eastAsiaTheme="minorEastAsia"/>
      <w:b/>
      <w:bCs/>
      <w:sz w:val="20"/>
      <w:szCs w:val="20"/>
      <w:lang w:val="en-US" w:bidi="en-US"/>
    </w:rPr>
  </w:style>
  <w:style w:type="paragraph" w:styleId="BalloonText">
    <w:name w:val="Balloon Text"/>
    <w:basedOn w:val="Normal"/>
    <w:link w:val="BalloonTextChar"/>
    <w:uiPriority w:val="99"/>
    <w:semiHidden/>
    <w:unhideWhenUsed/>
    <w:rsid w:val="00323D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A2"/>
    <w:rPr>
      <w:rFonts w:ascii="Segoe UI" w:eastAsiaTheme="minorEastAsia" w:hAnsi="Segoe UI" w:cs="Segoe UI"/>
      <w:sz w:val="18"/>
      <w:szCs w:val="18"/>
      <w:lang w:val="en-US" w:bidi="en-US"/>
    </w:rPr>
  </w:style>
  <w:style w:type="paragraph" w:customStyle="1" w:styleId="toolkit-ol-abc">
    <w:name w:val="toolkit-ol-abc"/>
    <w:basedOn w:val="Normal"/>
    <w:rsid w:val="00323DA2"/>
    <w:pPr>
      <w:widowControl w:val="0"/>
      <w:numPr>
        <w:numId w:val="2"/>
      </w:numPr>
      <w:tabs>
        <w:tab w:val="right" w:pos="8222"/>
      </w:tabs>
      <w:adjustRightInd w:val="0"/>
      <w:spacing w:before="0" w:after="60" w:line="320" w:lineRule="exact"/>
    </w:pPr>
    <w:rPr>
      <w:rFonts w:ascii="Arial" w:eastAsia="Times New Roman" w:hAnsi="Arial" w:cs="Times New Roman"/>
      <w:kern w:val="32"/>
      <w:lang w:val="en-GB" w:eastAsia="en-GB" w:bidi="ar-SA"/>
    </w:rPr>
  </w:style>
  <w:style w:type="paragraph" w:styleId="Header">
    <w:name w:val="header"/>
    <w:basedOn w:val="Normal"/>
    <w:link w:val="HeaderChar"/>
    <w:uiPriority w:val="99"/>
    <w:unhideWhenUsed/>
    <w:rsid w:val="00564B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4B6B"/>
    <w:rPr>
      <w:rFonts w:eastAsiaTheme="minorEastAsia"/>
      <w:sz w:val="20"/>
      <w:szCs w:val="20"/>
      <w:lang w:val="en-US" w:bidi="en-US"/>
    </w:rPr>
  </w:style>
  <w:style w:type="paragraph" w:styleId="Footer">
    <w:name w:val="footer"/>
    <w:basedOn w:val="Normal"/>
    <w:link w:val="FooterChar"/>
    <w:uiPriority w:val="99"/>
    <w:unhideWhenUsed/>
    <w:rsid w:val="00564B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64B6B"/>
    <w:rPr>
      <w:rFonts w:eastAsiaTheme="minorEastAsia"/>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riminal-records-checks-for-overseas-applic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fodportal/sites/rec/Pages1/Recruitment_Toolki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afodportal/sites/rec/Recruitment%20Toolkit%20Documents/Safe%20Recruitment%20Polic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0C447E30AAC4291919344CD6CCBC5" ma:contentTypeVersion="6" ma:contentTypeDescription="Create a new document." ma:contentTypeScope="" ma:versionID="92c69b30bb91e9a1d57aaf41ce2193b6">
  <xsd:schema xmlns:xsd="http://www.w3.org/2001/XMLSchema" xmlns:xs="http://www.w3.org/2001/XMLSchema" xmlns:p="http://schemas.microsoft.com/office/2006/metadata/properties" xmlns:ns2="a87f9822-b035-41d8-a0b6-0e4af5248837" xmlns:ns3="681970ae-9049-41aa-8eff-f04123fd89eb" targetNamespace="http://schemas.microsoft.com/office/2006/metadata/properties" ma:root="true" ma:fieldsID="c379eabbe3a8963158ce6fc013b2240e" ns2:_="" ns3:_="">
    <xsd:import namespace="a87f9822-b035-41d8-a0b6-0e4af5248837"/>
    <xsd:import namespace="681970ae-9049-41aa-8eff-f04123fd8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9822-b035-41d8-a0b6-0e4af5248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970ae-9049-41aa-8eff-f04123fd89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49D1E-E961-4366-BC44-4E5EF0E86A76}"/>
</file>

<file path=customXml/itemProps2.xml><?xml version="1.0" encoding="utf-8"?>
<ds:datastoreItem xmlns:ds="http://schemas.openxmlformats.org/officeDocument/2006/customXml" ds:itemID="{C4AD84B6-BEA6-4B84-B124-F7F85FDEED6B}">
  <ds:schemaRefs>
    <ds:schemaRef ds:uri="http://schemas.microsoft.com/sharepoint/v3/contenttype/forms"/>
  </ds:schemaRefs>
</ds:datastoreItem>
</file>

<file path=customXml/itemProps3.xml><?xml version="1.0" encoding="utf-8"?>
<ds:datastoreItem xmlns:ds="http://schemas.openxmlformats.org/officeDocument/2006/customXml" ds:itemID="{C7B58C5B-1D9F-48E6-8D47-33BD53533999}">
  <ds:schemaRefs>
    <ds:schemaRef ds:uri="http://schemas.microsoft.com/office/2006/documentManagement/types"/>
    <ds:schemaRef ds:uri="http://purl.org/dc/elements/1.1/"/>
    <ds:schemaRef ds:uri="http://www.w3.org/XML/1998/namespace"/>
    <ds:schemaRef ds:uri="http://purl.org/dc/dcmitype/"/>
    <ds:schemaRef ds:uri="404bc253-c7d4-4747-8e13-5c157622dcff"/>
    <ds:schemaRef ds:uri="4f02a577-5d90-4d23-b2a2-e9af0a75e47b"/>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Guidance</dc:subject>
  <dc:creator>Sheetal Nandihal</dc:creator>
  <cp:keywords/>
  <dc:description/>
  <cp:lastModifiedBy>Archambault, Aude</cp:lastModifiedBy>
  <cp:revision>7</cp:revision>
  <dcterms:created xsi:type="dcterms:W3CDTF">2020-01-07T12:46:00Z</dcterms:created>
  <dcterms:modified xsi:type="dcterms:W3CDTF">2020-03-30T12:00:00Z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0x010100B2A0C447E30AAC4291919344CD6CCBC5</vt:lpwstr>
  </property>
</Properties>
</file>