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8B" w:rsidRPr="007B17E2" w:rsidRDefault="007B17E2" w:rsidP="00B7614C">
      <w:pPr>
        <w:spacing w:line="240" w:lineRule="auto"/>
        <w:ind w:left="720" w:hanging="720"/>
        <w:jc w:val="center"/>
        <w:rPr>
          <w:b/>
          <w:lang w:val="es-GT"/>
        </w:rPr>
      </w:pPr>
      <w:bookmarkStart w:id="0" w:name="_GoBack"/>
      <w:bookmarkEnd w:id="0"/>
      <w:r w:rsidRPr="007B17E2">
        <w:rPr>
          <w:b/>
          <w:lang w:val="es-GT"/>
        </w:rPr>
        <w:t xml:space="preserve">HOJA DE TRABAJO </w:t>
      </w:r>
      <w:r w:rsidR="004114C0" w:rsidRPr="007B17E2">
        <w:rPr>
          <w:b/>
          <w:lang w:val="es-GT"/>
        </w:rPr>
        <w:t>8</w:t>
      </w:r>
      <w:r w:rsidR="004165AE" w:rsidRPr="007B17E2">
        <w:rPr>
          <w:b/>
          <w:lang w:val="es-GT"/>
        </w:rPr>
        <w:t xml:space="preserve">: </w:t>
      </w:r>
      <w:r w:rsidR="003B75D1" w:rsidRPr="007B17E2">
        <w:rPr>
          <w:b/>
          <w:lang w:val="es-GT"/>
        </w:rPr>
        <w:t>A</w:t>
      </w:r>
      <w:r w:rsidR="0048509F">
        <w:rPr>
          <w:b/>
          <w:lang w:val="es-GT"/>
        </w:rPr>
        <w:t xml:space="preserve">JUSTE DE </w:t>
      </w:r>
      <w:r w:rsidR="00B7614C">
        <w:rPr>
          <w:b/>
          <w:lang w:val="es-GT"/>
        </w:rPr>
        <w:t xml:space="preserve">PRECIOS POR </w:t>
      </w:r>
      <w:r w:rsidRPr="007B17E2">
        <w:rPr>
          <w:b/>
          <w:lang w:val="es-GT"/>
        </w:rPr>
        <w:t>LA INFLACIÓN</w:t>
      </w:r>
      <w:r w:rsidR="00E82D55" w:rsidRPr="007B17E2">
        <w:rPr>
          <w:rStyle w:val="Refdenotaalpie"/>
          <w:b/>
          <w:lang w:val="es-GT"/>
        </w:rPr>
        <w:footnoteReference w:id="1"/>
      </w:r>
    </w:p>
    <w:p w:rsidR="007B17E2" w:rsidRPr="007B17E2" w:rsidRDefault="007B17E2" w:rsidP="00E82D55">
      <w:pPr>
        <w:spacing w:line="240" w:lineRule="auto"/>
        <w:rPr>
          <w:rFonts w:cstheme="minorHAnsi"/>
          <w:lang w:val="es-GT"/>
        </w:rPr>
      </w:pPr>
      <w:r w:rsidRPr="007B17E2">
        <w:rPr>
          <w:b/>
          <w:lang w:val="es-GT"/>
        </w:rPr>
        <w:t>Definición</w:t>
      </w:r>
      <w:r w:rsidR="00EB452D" w:rsidRPr="007B17E2">
        <w:rPr>
          <w:lang w:val="es-GT"/>
        </w:rPr>
        <w:t>:</w:t>
      </w:r>
      <w:r w:rsidR="00CE63C5" w:rsidRPr="007B17E2">
        <w:rPr>
          <w:lang w:val="es-GT"/>
        </w:rPr>
        <w:t xml:space="preserve"> </w:t>
      </w:r>
      <w:r w:rsidRPr="007B17E2">
        <w:rPr>
          <w:lang w:val="es-GT"/>
        </w:rPr>
        <w:t xml:space="preserve">La inflación es una expresión del aumento en los precios en la economía en general. La inflación se mide basado en los bienes y servicios </w:t>
      </w:r>
      <w:r w:rsidRPr="007B17E2">
        <w:rPr>
          <w:rFonts w:cstheme="minorHAnsi"/>
          <w:lang w:val="es-GT"/>
        </w:rPr>
        <w:t xml:space="preserve">que representan los artículos típicos en la canasta de alimentos consumidos por los hogares promedio, como los granos y la harina, así como otros productos alimenticios, bebidas, combustible y suministro eléctrico, ropa, artículos para el hogar, cuotas escolares, etc. </w:t>
      </w:r>
    </w:p>
    <w:p w:rsidR="007B17E2" w:rsidRPr="007B17E2" w:rsidRDefault="007B17E2" w:rsidP="00E82D55">
      <w:pPr>
        <w:spacing w:line="240" w:lineRule="auto"/>
        <w:rPr>
          <w:rFonts w:cstheme="minorHAnsi"/>
          <w:lang w:val="es-GT"/>
        </w:rPr>
      </w:pPr>
      <w:r w:rsidRPr="007B17E2">
        <w:rPr>
          <w:i/>
          <w:lang w:val="es-GT"/>
        </w:rPr>
        <w:t>Precios n</w:t>
      </w:r>
      <w:r w:rsidR="003B75D1" w:rsidRPr="007B17E2">
        <w:rPr>
          <w:i/>
          <w:lang w:val="es-GT"/>
        </w:rPr>
        <w:t>ominal</w:t>
      </w:r>
      <w:r w:rsidRPr="007B17E2">
        <w:rPr>
          <w:i/>
          <w:lang w:val="es-GT"/>
        </w:rPr>
        <w:t>es</w:t>
      </w:r>
      <w:r w:rsidR="003B75D1" w:rsidRPr="007B17E2">
        <w:rPr>
          <w:lang w:val="es-GT"/>
        </w:rPr>
        <w:t xml:space="preserve">: </w:t>
      </w:r>
      <w:r w:rsidRPr="007B17E2">
        <w:rPr>
          <w:rFonts w:cstheme="minorHAnsi"/>
          <w:lang w:val="es-GT"/>
        </w:rPr>
        <w:t xml:space="preserve">Precios que </w:t>
      </w:r>
      <w:r w:rsidRPr="007B17E2">
        <w:rPr>
          <w:rFonts w:cstheme="minorHAnsi"/>
          <w:u w:val="single"/>
          <w:lang w:val="es-GT"/>
        </w:rPr>
        <w:t>no</w:t>
      </w:r>
      <w:r w:rsidRPr="007B17E2">
        <w:rPr>
          <w:rFonts w:cstheme="minorHAnsi"/>
          <w:lang w:val="es-GT"/>
        </w:rPr>
        <w:t xml:space="preserve"> han sido ajustados por la inflación.   El precio nominal es igual al dinero que se paga por una unidad de un alimento o servicio en el mercado.  Estos so</w:t>
      </w:r>
      <w:r w:rsidR="00B7614C">
        <w:rPr>
          <w:rFonts w:cstheme="minorHAnsi"/>
          <w:lang w:val="es-GT"/>
        </w:rPr>
        <w:t>n los precios observados en el m</w:t>
      </w:r>
      <w:r w:rsidRPr="007B17E2">
        <w:rPr>
          <w:rFonts w:cstheme="minorHAnsi"/>
          <w:lang w:val="es-GT"/>
        </w:rPr>
        <w:t>ercado</w:t>
      </w:r>
      <w:r w:rsidR="00B7614C">
        <w:rPr>
          <w:rFonts w:cstheme="minorHAnsi"/>
          <w:lang w:val="es-GT"/>
        </w:rPr>
        <w:t>.</w:t>
      </w:r>
    </w:p>
    <w:p w:rsidR="003B75D1" w:rsidRPr="00C425E2" w:rsidRDefault="007B17E2" w:rsidP="00E82D55">
      <w:pPr>
        <w:spacing w:line="240" w:lineRule="auto"/>
        <w:rPr>
          <w:lang w:val="es-GT"/>
        </w:rPr>
      </w:pPr>
      <w:r w:rsidRPr="007B17E2">
        <w:rPr>
          <w:i/>
          <w:lang w:val="es-GT"/>
        </w:rPr>
        <w:t>Precios r</w:t>
      </w:r>
      <w:r w:rsidR="003B75D1" w:rsidRPr="007B17E2">
        <w:rPr>
          <w:i/>
          <w:lang w:val="es-GT"/>
        </w:rPr>
        <w:t>eal</w:t>
      </w:r>
      <w:r w:rsidRPr="007B17E2">
        <w:rPr>
          <w:i/>
          <w:lang w:val="es-GT"/>
        </w:rPr>
        <w:t>es</w:t>
      </w:r>
      <w:r w:rsidR="003B75D1" w:rsidRPr="007B17E2">
        <w:rPr>
          <w:lang w:val="es-GT"/>
        </w:rPr>
        <w:t>: pr</w:t>
      </w:r>
      <w:r w:rsidRPr="007B17E2">
        <w:rPr>
          <w:lang w:val="es-GT"/>
        </w:rPr>
        <w:t xml:space="preserve">ecios que han sido </w:t>
      </w:r>
      <w:r w:rsidRPr="007B17E2">
        <w:rPr>
          <w:u w:val="single"/>
          <w:lang w:val="es-GT"/>
        </w:rPr>
        <w:t>ajustados</w:t>
      </w:r>
      <w:r w:rsidRPr="007B17E2">
        <w:rPr>
          <w:lang w:val="es-GT"/>
        </w:rPr>
        <w:t xml:space="preserve"> por la inflación</w:t>
      </w:r>
      <w:r w:rsidR="003B75D1" w:rsidRPr="007B17E2">
        <w:rPr>
          <w:lang w:val="es-GT"/>
        </w:rPr>
        <w:t xml:space="preserve">. </w:t>
      </w:r>
      <w:r w:rsidRPr="007B17E2">
        <w:rPr>
          <w:rFonts w:cstheme="minorHAnsi"/>
          <w:lang w:val="es-GT"/>
        </w:rPr>
        <w:t xml:space="preserve">Los precios reales mantienen el valor de la constante de la moneda y le permiten comparar el valor de intercambio de un bien o servicio en distintos períodos de tiempo.  A diferencia de los precios nominales, los </w:t>
      </w:r>
      <w:r w:rsidRPr="00C425E2">
        <w:rPr>
          <w:rFonts w:cstheme="minorHAnsi"/>
          <w:lang w:val="es-GT"/>
        </w:rPr>
        <w:t xml:space="preserve">precios reales no son observables en el </w:t>
      </w:r>
      <w:r w:rsidR="00325B19">
        <w:rPr>
          <w:rFonts w:cstheme="minorHAnsi"/>
          <w:lang w:val="es-GT"/>
        </w:rPr>
        <w:t>m</w:t>
      </w:r>
      <w:r w:rsidRPr="00C425E2">
        <w:rPr>
          <w:rFonts w:cstheme="minorHAnsi"/>
          <w:lang w:val="es-GT"/>
        </w:rPr>
        <w:t xml:space="preserve">ercado y son calculados. </w:t>
      </w:r>
      <w:r w:rsidRPr="00C425E2">
        <w:rPr>
          <w:lang w:val="es-GT"/>
        </w:rPr>
        <w:t xml:space="preserve"> </w:t>
      </w:r>
    </w:p>
    <w:p w:rsidR="002876E7" w:rsidRPr="00C425E2" w:rsidRDefault="007B17E2" w:rsidP="00E82D55">
      <w:pPr>
        <w:spacing w:line="240" w:lineRule="auto"/>
        <w:rPr>
          <w:lang w:val="es-GT"/>
        </w:rPr>
      </w:pPr>
      <w:r w:rsidRPr="00C425E2">
        <w:rPr>
          <w:i/>
          <w:lang w:val="es-GT"/>
        </w:rPr>
        <w:t xml:space="preserve">Índice de Precios </w:t>
      </w:r>
      <w:r w:rsidR="007C441A">
        <w:rPr>
          <w:i/>
          <w:lang w:val="es-GT"/>
        </w:rPr>
        <w:t>a</w:t>
      </w:r>
      <w:r w:rsidRPr="00C425E2">
        <w:rPr>
          <w:i/>
          <w:lang w:val="es-GT"/>
        </w:rPr>
        <w:t xml:space="preserve">l Consumidor </w:t>
      </w:r>
      <w:r w:rsidR="002876E7" w:rsidRPr="00C425E2">
        <w:rPr>
          <w:i/>
          <w:lang w:val="es-GT"/>
        </w:rPr>
        <w:t>(</w:t>
      </w:r>
      <w:r w:rsidRPr="00C425E2">
        <w:rPr>
          <w:i/>
          <w:lang w:val="es-GT"/>
        </w:rPr>
        <w:t>IPC</w:t>
      </w:r>
      <w:r w:rsidR="002876E7" w:rsidRPr="00C425E2">
        <w:rPr>
          <w:i/>
          <w:lang w:val="es-GT"/>
        </w:rPr>
        <w:t>)</w:t>
      </w:r>
      <w:r w:rsidR="002876E7" w:rsidRPr="00C425E2">
        <w:rPr>
          <w:lang w:val="es-GT"/>
        </w:rPr>
        <w:t xml:space="preserve">: </w:t>
      </w:r>
      <w:r w:rsidR="00C425E2" w:rsidRPr="00C425E2">
        <w:rPr>
          <w:lang w:val="es-GT"/>
        </w:rPr>
        <w:t>El IPC es u</w:t>
      </w:r>
      <w:r w:rsidR="00C425E2" w:rsidRPr="00C425E2">
        <w:rPr>
          <w:rFonts w:cstheme="minorHAnsi"/>
          <w:lang w:val="es-GT"/>
        </w:rPr>
        <w:t xml:space="preserve">na medida de cambio en el poder adquisitivo de una moneda.  El IPC expresa los precios actuales de una canasta básica de bienes y servicios para el típico consumidor en términos de los precios durante el mismo período en un año previo para mostrar el efecto de la inflación en el poder adquisitivo.  </w:t>
      </w:r>
    </w:p>
    <w:p w:rsidR="00EB452D" w:rsidRPr="00C425E2" w:rsidRDefault="007C441A" w:rsidP="00E82D55">
      <w:pPr>
        <w:spacing w:line="240" w:lineRule="auto"/>
        <w:rPr>
          <w:lang w:val="es-GT"/>
        </w:rPr>
      </w:pPr>
      <w:r>
        <w:rPr>
          <w:b/>
          <w:lang w:val="es-GT"/>
        </w:rPr>
        <w:t>D</w:t>
      </w:r>
      <w:r w:rsidR="00B045F9">
        <w:rPr>
          <w:b/>
          <w:lang w:val="es-GT"/>
        </w:rPr>
        <w:t>atos</w:t>
      </w:r>
      <w:r>
        <w:rPr>
          <w:b/>
          <w:lang w:val="es-GT"/>
        </w:rPr>
        <w:t xml:space="preserve"> necesarios</w:t>
      </w:r>
      <w:r w:rsidR="00EB452D" w:rsidRPr="00C425E2">
        <w:rPr>
          <w:lang w:val="es-GT"/>
        </w:rPr>
        <w:t xml:space="preserve">: </w:t>
      </w:r>
      <w:r w:rsidR="00C962EB">
        <w:rPr>
          <w:lang w:val="es-GT"/>
        </w:rPr>
        <w:t>precio nominal mensual (idealmente de varios años</w:t>
      </w:r>
      <w:r w:rsidR="00781185" w:rsidRPr="00C425E2">
        <w:rPr>
          <w:lang w:val="es-GT"/>
        </w:rPr>
        <w:t>)</w:t>
      </w:r>
      <w:r w:rsidR="00EB452D" w:rsidRPr="00C425E2">
        <w:rPr>
          <w:lang w:val="es-GT"/>
        </w:rPr>
        <w:t xml:space="preserve">; </w:t>
      </w:r>
      <w:r w:rsidR="00C962EB">
        <w:rPr>
          <w:lang w:val="es-GT"/>
        </w:rPr>
        <w:t>IPC mensual correspondiente o</w:t>
      </w:r>
      <w:r w:rsidR="00781185" w:rsidRPr="00C425E2">
        <w:rPr>
          <w:lang w:val="es-GT"/>
        </w:rPr>
        <w:t xml:space="preserve"> </w:t>
      </w:r>
      <w:r w:rsidR="00C962EB">
        <w:rPr>
          <w:lang w:val="es-GT"/>
        </w:rPr>
        <w:t>tasas de inflación</w:t>
      </w:r>
      <w:r w:rsidR="00781185" w:rsidRPr="00C425E2">
        <w:rPr>
          <w:lang w:val="es-GT"/>
        </w:rPr>
        <w:t>.</w:t>
      </w:r>
      <w:r w:rsidR="00E82D55" w:rsidRPr="00C425E2">
        <w:rPr>
          <w:rStyle w:val="Refdenotaalpie"/>
          <w:lang w:val="es-GT"/>
        </w:rPr>
        <w:footnoteReference w:id="2"/>
      </w:r>
    </w:p>
    <w:p w:rsidR="00EB452D" w:rsidRPr="007B17E2" w:rsidRDefault="007C441A" w:rsidP="00E82D55">
      <w:pPr>
        <w:spacing w:line="240" w:lineRule="auto"/>
        <w:rPr>
          <w:lang w:val="es-GT"/>
        </w:rPr>
      </w:pPr>
      <w:r>
        <w:rPr>
          <w:b/>
          <w:lang w:val="es-GT"/>
        </w:rPr>
        <w:t>¿</w:t>
      </w:r>
      <w:r w:rsidR="00C962EB">
        <w:rPr>
          <w:b/>
          <w:lang w:val="es-GT"/>
        </w:rPr>
        <w:t xml:space="preserve">Cómo calcular y analizar los </w:t>
      </w:r>
      <w:r w:rsidR="00F808F9">
        <w:rPr>
          <w:b/>
          <w:lang w:val="es-GT"/>
        </w:rPr>
        <w:t>precios</w:t>
      </w:r>
      <w:r w:rsidR="00C962EB">
        <w:rPr>
          <w:b/>
          <w:lang w:val="es-GT"/>
        </w:rPr>
        <w:t xml:space="preserve"> reales</w:t>
      </w:r>
      <w:r>
        <w:rPr>
          <w:b/>
          <w:lang w:val="es-GT"/>
        </w:rPr>
        <w:t>?</w:t>
      </w:r>
      <w:r w:rsidR="00C962EB">
        <w:rPr>
          <w:b/>
          <w:lang w:val="es-GT"/>
        </w:rPr>
        <w:t xml:space="preserve"> </w:t>
      </w:r>
      <w:r w:rsidR="002876E7" w:rsidRPr="007B17E2">
        <w:rPr>
          <w:b/>
          <w:lang w:val="es-GT"/>
        </w:rPr>
        <w:t>(</w:t>
      </w:r>
      <w:r w:rsidR="00C962EB">
        <w:rPr>
          <w:b/>
          <w:lang w:val="es-GT"/>
        </w:rPr>
        <w:t>es decir, los precios ajustados por la inflación</w:t>
      </w:r>
      <w:r w:rsidR="002876E7" w:rsidRPr="007B17E2">
        <w:rPr>
          <w:b/>
          <w:lang w:val="es-GT"/>
        </w:rPr>
        <w:t>)</w:t>
      </w:r>
      <w:r w:rsidR="00EB452D" w:rsidRPr="007B17E2">
        <w:rPr>
          <w:lang w:val="es-GT"/>
        </w:rPr>
        <w:t>:</w:t>
      </w:r>
    </w:p>
    <w:p w:rsidR="00A1080E" w:rsidRPr="007B17E2" w:rsidRDefault="00F808F9" w:rsidP="00E82D55">
      <w:pPr>
        <w:pStyle w:val="Prrafodelista"/>
        <w:numPr>
          <w:ilvl w:val="0"/>
          <w:numId w:val="4"/>
        </w:numPr>
        <w:spacing w:line="240" w:lineRule="auto"/>
        <w:rPr>
          <w:lang w:val="es-GT"/>
        </w:rPr>
      </w:pPr>
      <w:r>
        <w:rPr>
          <w:lang w:val="es-GT"/>
        </w:rPr>
        <w:t xml:space="preserve">Calcule los precios reales utilizando el IPC o la tasa de inflación </w:t>
      </w:r>
      <w:r w:rsidR="00A1080E" w:rsidRPr="007B17E2">
        <w:rPr>
          <w:lang w:val="es-GT"/>
        </w:rPr>
        <w:t>(dependi</w:t>
      </w:r>
      <w:r>
        <w:rPr>
          <w:lang w:val="es-GT"/>
        </w:rPr>
        <w:t xml:space="preserve">endo </w:t>
      </w:r>
      <w:r w:rsidR="00E3520A">
        <w:rPr>
          <w:lang w:val="es-GT"/>
        </w:rPr>
        <w:t xml:space="preserve">de </w:t>
      </w:r>
      <w:r w:rsidR="007C441A">
        <w:rPr>
          <w:lang w:val="es-GT"/>
        </w:rPr>
        <w:t>lo que esté</w:t>
      </w:r>
      <w:r>
        <w:rPr>
          <w:lang w:val="es-GT"/>
        </w:rPr>
        <w:t xml:space="preserve"> disponible</w:t>
      </w:r>
      <w:r w:rsidR="00A1080E" w:rsidRPr="007B17E2">
        <w:rPr>
          <w:lang w:val="es-GT"/>
        </w:rPr>
        <w:t>).</w:t>
      </w:r>
    </w:p>
    <w:p w:rsidR="00A1080E" w:rsidRPr="007B17E2" w:rsidRDefault="00A1080E" w:rsidP="00E82D55">
      <w:pPr>
        <w:pStyle w:val="Prrafodelista"/>
        <w:spacing w:line="240" w:lineRule="auto"/>
        <w:ind w:left="0"/>
        <w:jc w:val="center"/>
        <w:rPr>
          <w:lang w:val="es-GT"/>
        </w:rPr>
      </w:pPr>
    </w:p>
    <w:p w:rsidR="00EB452D" w:rsidRPr="00E3520A" w:rsidRDefault="00E3520A" w:rsidP="00E82D55">
      <w:pPr>
        <w:pStyle w:val="Prrafodelista"/>
        <w:spacing w:line="240" w:lineRule="auto"/>
        <w:ind w:left="0"/>
        <w:jc w:val="center"/>
        <w:rPr>
          <w:vertAlign w:val="subscript"/>
          <w:lang w:val="es-GT"/>
        </w:rPr>
      </w:pPr>
      <w:r w:rsidRPr="00E3520A">
        <w:rPr>
          <w:lang w:val="es-GT"/>
        </w:rPr>
        <w:t xml:space="preserve">PRECIO </w:t>
      </w:r>
      <w:r w:rsidR="001E7978" w:rsidRPr="00E3520A">
        <w:rPr>
          <w:lang w:val="es-GT"/>
        </w:rPr>
        <w:t>R</w:t>
      </w:r>
      <w:r w:rsidR="00A1080E" w:rsidRPr="00E3520A">
        <w:rPr>
          <w:lang w:val="es-GT"/>
        </w:rPr>
        <w:t>EAL</w:t>
      </w:r>
      <w:r w:rsidR="001E7978" w:rsidRPr="00E3520A">
        <w:rPr>
          <w:lang w:val="es-GT"/>
        </w:rPr>
        <w:t xml:space="preserve"> </w:t>
      </w:r>
      <w:r w:rsidR="00C962EB" w:rsidRPr="00E3520A">
        <w:rPr>
          <w:vertAlign w:val="subscript"/>
          <w:lang w:val="es-GT"/>
        </w:rPr>
        <w:t>AA</w:t>
      </w:r>
      <w:r w:rsidR="00F808F9" w:rsidRPr="00E3520A">
        <w:rPr>
          <w:lang w:val="es-GT"/>
        </w:rPr>
        <w:t>= (</w:t>
      </w:r>
      <w:r w:rsidR="001E7978" w:rsidRPr="00E3520A">
        <w:rPr>
          <w:lang w:val="es-GT"/>
        </w:rPr>
        <w:t>I</w:t>
      </w:r>
      <w:r w:rsidR="00F808F9" w:rsidRPr="00E3520A">
        <w:rPr>
          <w:lang w:val="es-GT"/>
        </w:rPr>
        <w:t>PC</w:t>
      </w:r>
      <w:r w:rsidR="00F808F9" w:rsidRPr="00E3520A">
        <w:rPr>
          <w:vertAlign w:val="subscript"/>
          <w:lang w:val="es-GT"/>
        </w:rPr>
        <w:t>AB</w:t>
      </w:r>
      <w:r w:rsidR="00F808F9" w:rsidRPr="00E3520A">
        <w:rPr>
          <w:lang w:val="es-GT"/>
        </w:rPr>
        <w:t>/</w:t>
      </w:r>
      <w:r w:rsidR="001E7978" w:rsidRPr="00E3520A">
        <w:rPr>
          <w:lang w:val="es-GT"/>
        </w:rPr>
        <w:t>I</w:t>
      </w:r>
      <w:r w:rsidR="00F808F9" w:rsidRPr="00E3520A">
        <w:rPr>
          <w:lang w:val="es-GT"/>
        </w:rPr>
        <w:t>PC</w:t>
      </w:r>
      <w:r w:rsidR="00C962EB" w:rsidRPr="00E3520A">
        <w:rPr>
          <w:vertAlign w:val="subscript"/>
          <w:lang w:val="es-GT"/>
        </w:rPr>
        <w:t>AA</w:t>
      </w:r>
      <w:r w:rsidR="00F808F9" w:rsidRPr="00E3520A">
        <w:rPr>
          <w:lang w:val="es-GT"/>
        </w:rPr>
        <w:t>)*</w:t>
      </w:r>
      <w:r w:rsidR="007D3CA7" w:rsidRPr="00E3520A">
        <w:rPr>
          <w:lang w:val="es-GT"/>
        </w:rPr>
        <w:t>P</w:t>
      </w:r>
      <w:r w:rsidR="00F808F9" w:rsidRPr="00E3520A">
        <w:rPr>
          <w:lang w:val="es-GT"/>
        </w:rPr>
        <w:t>N</w:t>
      </w:r>
      <w:r w:rsidR="00C962EB" w:rsidRPr="00E3520A">
        <w:rPr>
          <w:vertAlign w:val="subscript"/>
          <w:lang w:val="es-GT"/>
        </w:rPr>
        <w:t>AA</w:t>
      </w:r>
    </w:p>
    <w:p w:rsidR="00A1080E" w:rsidRPr="00B7614C" w:rsidRDefault="00E3520A" w:rsidP="00E82D55">
      <w:pPr>
        <w:pStyle w:val="Prrafodelista"/>
        <w:spacing w:line="240" w:lineRule="auto"/>
        <w:ind w:left="0"/>
        <w:jc w:val="center"/>
        <w:rPr>
          <w:lang w:val="es-GT"/>
        </w:rPr>
      </w:pPr>
      <w:r w:rsidRPr="00B7614C">
        <w:rPr>
          <w:lang w:val="es-GT"/>
        </w:rPr>
        <w:t>O</w:t>
      </w:r>
    </w:p>
    <w:p w:rsidR="00A1080E" w:rsidRPr="007B17E2" w:rsidRDefault="00F808F9" w:rsidP="00E82D55">
      <w:pPr>
        <w:pStyle w:val="Prrafodelista"/>
        <w:spacing w:line="240" w:lineRule="auto"/>
        <w:ind w:left="0"/>
        <w:jc w:val="center"/>
        <w:rPr>
          <w:lang w:val="es-GT"/>
        </w:rPr>
      </w:pPr>
      <w:r>
        <w:rPr>
          <w:lang w:val="es-GT"/>
        </w:rPr>
        <w:t xml:space="preserve">PRECIO </w:t>
      </w:r>
      <w:r w:rsidR="00A1080E" w:rsidRPr="007B17E2">
        <w:rPr>
          <w:lang w:val="es-GT"/>
        </w:rPr>
        <w:t xml:space="preserve">REAL = </w:t>
      </w:r>
      <w:r>
        <w:rPr>
          <w:lang w:val="es-GT"/>
        </w:rPr>
        <w:t>Precio n</w:t>
      </w:r>
      <w:r w:rsidR="00A1080E" w:rsidRPr="007B17E2">
        <w:rPr>
          <w:lang w:val="es-GT"/>
        </w:rPr>
        <w:t xml:space="preserve">ominal / (1 + </w:t>
      </w:r>
      <w:r>
        <w:rPr>
          <w:lang w:val="es-GT"/>
        </w:rPr>
        <w:t>tasa de inflación</w:t>
      </w:r>
      <w:r w:rsidR="00A1080E" w:rsidRPr="007B17E2">
        <w:rPr>
          <w:lang w:val="es-GT"/>
        </w:rPr>
        <w:t>)</w:t>
      </w:r>
    </w:p>
    <w:p w:rsidR="007D3CA7" w:rsidRPr="007B17E2" w:rsidRDefault="00C962EB" w:rsidP="00E82D55">
      <w:pPr>
        <w:pStyle w:val="Prrafodelista"/>
        <w:spacing w:line="240" w:lineRule="auto"/>
        <w:rPr>
          <w:lang w:val="es-GT"/>
        </w:rPr>
      </w:pPr>
      <w:r>
        <w:rPr>
          <w:lang w:val="es-GT"/>
        </w:rPr>
        <w:t>Dónde</w:t>
      </w:r>
      <w:r w:rsidR="007D3CA7" w:rsidRPr="007B17E2">
        <w:rPr>
          <w:lang w:val="es-GT"/>
        </w:rPr>
        <w:t>:</w:t>
      </w:r>
    </w:p>
    <w:p w:rsidR="007D3CA7" w:rsidRPr="007B17E2" w:rsidRDefault="00C962EB" w:rsidP="00E82D55">
      <w:pPr>
        <w:pStyle w:val="Prrafodelista"/>
        <w:spacing w:line="240" w:lineRule="auto"/>
        <w:rPr>
          <w:lang w:val="es-GT"/>
        </w:rPr>
      </w:pPr>
      <w:r>
        <w:rPr>
          <w:lang w:val="es-GT"/>
        </w:rPr>
        <w:t>AA</w:t>
      </w:r>
      <w:r w:rsidR="007D3CA7" w:rsidRPr="007B17E2">
        <w:rPr>
          <w:lang w:val="es-GT"/>
        </w:rPr>
        <w:t xml:space="preserve"> = </w:t>
      </w:r>
      <w:r>
        <w:rPr>
          <w:lang w:val="es-GT"/>
        </w:rPr>
        <w:t xml:space="preserve">Año actual  </w:t>
      </w:r>
    </w:p>
    <w:p w:rsidR="007D3CA7" w:rsidRPr="007B17E2" w:rsidRDefault="00F808F9" w:rsidP="00E82D55">
      <w:pPr>
        <w:pStyle w:val="Prrafodelista"/>
        <w:spacing w:line="240" w:lineRule="auto"/>
        <w:rPr>
          <w:lang w:val="es-GT"/>
        </w:rPr>
      </w:pPr>
      <w:r>
        <w:rPr>
          <w:lang w:val="es-GT"/>
        </w:rPr>
        <w:t>AB</w:t>
      </w:r>
      <w:r w:rsidR="007D3CA7" w:rsidRPr="007B17E2">
        <w:rPr>
          <w:lang w:val="es-GT"/>
        </w:rPr>
        <w:t xml:space="preserve"> = </w:t>
      </w:r>
      <w:r>
        <w:rPr>
          <w:lang w:val="es-GT"/>
        </w:rPr>
        <w:t xml:space="preserve">Año base  </w:t>
      </w:r>
    </w:p>
    <w:p w:rsidR="007D3CA7" w:rsidRPr="007B17E2" w:rsidRDefault="007D3CA7" w:rsidP="00E82D55">
      <w:pPr>
        <w:pStyle w:val="Prrafodelista"/>
        <w:spacing w:line="240" w:lineRule="auto"/>
        <w:rPr>
          <w:lang w:val="es-GT"/>
        </w:rPr>
      </w:pPr>
      <w:r w:rsidRPr="007B17E2">
        <w:rPr>
          <w:lang w:val="es-GT"/>
        </w:rPr>
        <w:t>P</w:t>
      </w:r>
      <w:r w:rsidR="00F808F9">
        <w:rPr>
          <w:lang w:val="es-GT"/>
        </w:rPr>
        <w:t>N</w:t>
      </w:r>
      <w:r w:rsidRPr="007B17E2">
        <w:rPr>
          <w:lang w:val="es-GT"/>
        </w:rPr>
        <w:t xml:space="preserve"> = </w:t>
      </w:r>
      <w:r w:rsidR="00F808F9">
        <w:rPr>
          <w:lang w:val="es-GT"/>
        </w:rPr>
        <w:t xml:space="preserve">Precio nominal  </w:t>
      </w:r>
    </w:p>
    <w:p w:rsidR="007D3CA7" w:rsidRPr="007B17E2" w:rsidRDefault="007D3CA7" w:rsidP="00E82D55">
      <w:pPr>
        <w:pStyle w:val="Prrafodelista"/>
        <w:spacing w:line="240" w:lineRule="auto"/>
        <w:ind w:hanging="720"/>
        <w:rPr>
          <w:lang w:val="es-GT"/>
        </w:rPr>
      </w:pPr>
    </w:p>
    <w:p w:rsidR="00896FB1" w:rsidRPr="007B17E2" w:rsidRDefault="00F808F9" w:rsidP="00E82D55">
      <w:pPr>
        <w:pStyle w:val="Prrafodelista"/>
        <w:numPr>
          <w:ilvl w:val="0"/>
          <w:numId w:val="4"/>
        </w:numPr>
        <w:spacing w:line="240" w:lineRule="auto"/>
        <w:rPr>
          <w:lang w:val="es-GT"/>
        </w:rPr>
      </w:pPr>
      <w:r>
        <w:rPr>
          <w:lang w:val="es-GT"/>
        </w:rPr>
        <w:t xml:space="preserve">Haga una gráfica de los precios reales comparado con los precios nominales  </w:t>
      </w:r>
    </w:p>
    <w:p w:rsidR="00A33933" w:rsidRPr="007B17E2" w:rsidRDefault="00F808F9" w:rsidP="00E82D55">
      <w:pPr>
        <w:spacing w:line="240" w:lineRule="auto"/>
        <w:rPr>
          <w:b/>
          <w:lang w:val="es-GT"/>
        </w:rPr>
      </w:pPr>
      <w:r>
        <w:rPr>
          <w:b/>
          <w:lang w:val="es-GT"/>
        </w:rPr>
        <w:t>Ejemplo</w:t>
      </w:r>
      <w:r w:rsidR="00A33933" w:rsidRPr="007B17E2">
        <w:rPr>
          <w:b/>
          <w:lang w:val="es-GT"/>
        </w:rPr>
        <w:t>:</w:t>
      </w:r>
    </w:p>
    <w:tbl>
      <w:tblPr>
        <w:tblStyle w:val="Tablaconcuadrcula"/>
        <w:tblW w:w="7614" w:type="dxa"/>
        <w:tblInd w:w="720" w:type="dxa"/>
        <w:tblLayout w:type="fixed"/>
        <w:tblLook w:val="04A0" w:firstRow="1" w:lastRow="0" w:firstColumn="1" w:lastColumn="0" w:noHBand="0" w:noVBand="1"/>
      </w:tblPr>
      <w:tblGrid>
        <w:gridCol w:w="1008"/>
        <w:gridCol w:w="1008"/>
        <w:gridCol w:w="1710"/>
        <w:gridCol w:w="1296"/>
        <w:gridCol w:w="1296"/>
        <w:gridCol w:w="1296"/>
      </w:tblGrid>
      <w:tr w:rsidR="00D36E64" w:rsidRPr="007B17E2" w:rsidTr="00B73256">
        <w:tc>
          <w:tcPr>
            <w:tcW w:w="1008" w:type="dxa"/>
            <w:vAlign w:val="center"/>
          </w:tcPr>
          <w:p w:rsidR="00D36E64" w:rsidRPr="007B17E2" w:rsidRDefault="00D36E64" w:rsidP="00B73256">
            <w:pPr>
              <w:jc w:val="center"/>
              <w:rPr>
                <w:b/>
                <w:sz w:val="20"/>
                <w:szCs w:val="20"/>
                <w:lang w:val="es-GT"/>
              </w:rPr>
            </w:pPr>
            <w:r w:rsidRPr="007B17E2">
              <w:rPr>
                <w:b/>
                <w:sz w:val="20"/>
                <w:szCs w:val="20"/>
                <w:lang w:val="es-GT"/>
              </w:rPr>
              <w:t>A</w:t>
            </w:r>
          </w:p>
        </w:tc>
        <w:tc>
          <w:tcPr>
            <w:tcW w:w="1008" w:type="dxa"/>
            <w:vAlign w:val="center"/>
          </w:tcPr>
          <w:p w:rsidR="00D36E64" w:rsidRPr="007B17E2" w:rsidRDefault="00D36E64" w:rsidP="00B73256">
            <w:pPr>
              <w:jc w:val="center"/>
              <w:rPr>
                <w:b/>
                <w:sz w:val="20"/>
                <w:szCs w:val="20"/>
                <w:lang w:val="es-GT"/>
              </w:rPr>
            </w:pPr>
            <w:r w:rsidRPr="007B17E2">
              <w:rPr>
                <w:b/>
                <w:sz w:val="20"/>
                <w:szCs w:val="20"/>
                <w:lang w:val="es-GT"/>
              </w:rPr>
              <w:t>B</w:t>
            </w:r>
          </w:p>
        </w:tc>
        <w:tc>
          <w:tcPr>
            <w:tcW w:w="1710" w:type="dxa"/>
            <w:vAlign w:val="center"/>
          </w:tcPr>
          <w:p w:rsidR="00D36E64" w:rsidRPr="007B17E2" w:rsidRDefault="00D36E64" w:rsidP="00B73256">
            <w:pPr>
              <w:jc w:val="center"/>
              <w:rPr>
                <w:b/>
                <w:sz w:val="20"/>
                <w:szCs w:val="20"/>
                <w:lang w:val="es-GT"/>
              </w:rPr>
            </w:pPr>
            <w:r w:rsidRPr="007B17E2">
              <w:rPr>
                <w:b/>
                <w:sz w:val="20"/>
                <w:szCs w:val="20"/>
                <w:lang w:val="es-GT"/>
              </w:rPr>
              <w:t>C</w:t>
            </w:r>
          </w:p>
        </w:tc>
        <w:tc>
          <w:tcPr>
            <w:tcW w:w="1296" w:type="dxa"/>
            <w:vAlign w:val="center"/>
          </w:tcPr>
          <w:p w:rsidR="00D36E64" w:rsidRPr="007B17E2" w:rsidRDefault="00D36E64" w:rsidP="00B73256">
            <w:pPr>
              <w:jc w:val="center"/>
              <w:rPr>
                <w:b/>
                <w:sz w:val="20"/>
                <w:szCs w:val="20"/>
                <w:lang w:val="es-GT"/>
              </w:rPr>
            </w:pPr>
            <w:r w:rsidRPr="007B17E2">
              <w:rPr>
                <w:b/>
                <w:sz w:val="20"/>
                <w:szCs w:val="20"/>
                <w:lang w:val="es-GT"/>
              </w:rPr>
              <w:t>D</w:t>
            </w:r>
          </w:p>
        </w:tc>
        <w:tc>
          <w:tcPr>
            <w:tcW w:w="1296" w:type="dxa"/>
            <w:vAlign w:val="center"/>
          </w:tcPr>
          <w:p w:rsidR="00D36E64" w:rsidRPr="007B17E2" w:rsidRDefault="00D36E64" w:rsidP="00B73256">
            <w:pPr>
              <w:jc w:val="center"/>
              <w:rPr>
                <w:b/>
                <w:sz w:val="20"/>
                <w:szCs w:val="20"/>
                <w:lang w:val="es-GT"/>
              </w:rPr>
            </w:pPr>
            <w:r w:rsidRPr="007B17E2">
              <w:rPr>
                <w:b/>
                <w:sz w:val="20"/>
                <w:szCs w:val="20"/>
                <w:lang w:val="es-GT"/>
              </w:rPr>
              <w:t>E</w:t>
            </w:r>
          </w:p>
        </w:tc>
        <w:tc>
          <w:tcPr>
            <w:tcW w:w="1296" w:type="dxa"/>
            <w:vAlign w:val="center"/>
          </w:tcPr>
          <w:p w:rsidR="00D36E64" w:rsidRPr="007B17E2" w:rsidRDefault="00D36E64" w:rsidP="00B73256">
            <w:pPr>
              <w:jc w:val="center"/>
              <w:rPr>
                <w:b/>
                <w:sz w:val="20"/>
                <w:szCs w:val="20"/>
                <w:lang w:val="es-GT"/>
              </w:rPr>
            </w:pPr>
            <w:r w:rsidRPr="007B17E2">
              <w:rPr>
                <w:b/>
                <w:sz w:val="20"/>
                <w:szCs w:val="20"/>
                <w:lang w:val="es-GT"/>
              </w:rPr>
              <w:t>F</w:t>
            </w:r>
          </w:p>
        </w:tc>
      </w:tr>
      <w:tr w:rsidR="00B448D4" w:rsidRPr="007B17E2" w:rsidTr="00B73256">
        <w:tc>
          <w:tcPr>
            <w:tcW w:w="1008" w:type="dxa"/>
            <w:vAlign w:val="center"/>
          </w:tcPr>
          <w:p w:rsidR="007D3CA7" w:rsidRPr="007B17E2" w:rsidRDefault="00F808F9" w:rsidP="00B73256">
            <w:pPr>
              <w:jc w:val="center"/>
              <w:rPr>
                <w:b/>
                <w:sz w:val="20"/>
                <w:szCs w:val="20"/>
                <w:lang w:val="es-GT"/>
              </w:rPr>
            </w:pPr>
            <w:r>
              <w:rPr>
                <w:b/>
                <w:sz w:val="20"/>
                <w:szCs w:val="20"/>
                <w:lang w:val="es-GT"/>
              </w:rPr>
              <w:t>Año</w:t>
            </w:r>
          </w:p>
        </w:tc>
        <w:tc>
          <w:tcPr>
            <w:tcW w:w="1008" w:type="dxa"/>
            <w:vAlign w:val="center"/>
          </w:tcPr>
          <w:p w:rsidR="007D3CA7" w:rsidRPr="007B17E2" w:rsidRDefault="00F808F9" w:rsidP="00F808F9">
            <w:pPr>
              <w:jc w:val="center"/>
              <w:rPr>
                <w:b/>
                <w:sz w:val="20"/>
                <w:szCs w:val="20"/>
                <w:lang w:val="es-GT"/>
              </w:rPr>
            </w:pPr>
            <w:r>
              <w:rPr>
                <w:b/>
                <w:sz w:val="20"/>
                <w:szCs w:val="20"/>
                <w:lang w:val="es-GT"/>
              </w:rPr>
              <w:t xml:space="preserve">Mes  </w:t>
            </w:r>
          </w:p>
        </w:tc>
        <w:tc>
          <w:tcPr>
            <w:tcW w:w="1710" w:type="dxa"/>
            <w:vAlign w:val="center"/>
          </w:tcPr>
          <w:p w:rsidR="007D3CA7" w:rsidRPr="007B17E2" w:rsidRDefault="00F808F9" w:rsidP="00F808F9">
            <w:pPr>
              <w:jc w:val="center"/>
              <w:rPr>
                <w:b/>
                <w:sz w:val="20"/>
                <w:szCs w:val="20"/>
                <w:lang w:val="es-GT"/>
              </w:rPr>
            </w:pPr>
            <w:r>
              <w:rPr>
                <w:b/>
                <w:sz w:val="20"/>
                <w:szCs w:val="20"/>
                <w:lang w:val="es-GT"/>
              </w:rPr>
              <w:t xml:space="preserve">Precio </w:t>
            </w:r>
            <w:r w:rsidR="007D3CA7" w:rsidRPr="007B17E2">
              <w:rPr>
                <w:b/>
                <w:sz w:val="20"/>
                <w:szCs w:val="20"/>
                <w:lang w:val="es-GT"/>
              </w:rPr>
              <w:t xml:space="preserve">Nominal </w:t>
            </w:r>
            <w:r>
              <w:rPr>
                <w:b/>
                <w:sz w:val="20"/>
                <w:szCs w:val="20"/>
                <w:lang w:val="es-GT"/>
              </w:rPr>
              <w:t xml:space="preserve"> </w:t>
            </w:r>
          </w:p>
        </w:tc>
        <w:tc>
          <w:tcPr>
            <w:tcW w:w="1296" w:type="dxa"/>
            <w:vAlign w:val="center"/>
          </w:tcPr>
          <w:p w:rsidR="007D3CA7" w:rsidRPr="007B17E2" w:rsidRDefault="00F808F9" w:rsidP="00F808F9">
            <w:pPr>
              <w:jc w:val="center"/>
              <w:rPr>
                <w:b/>
                <w:sz w:val="20"/>
                <w:szCs w:val="20"/>
                <w:lang w:val="es-GT"/>
              </w:rPr>
            </w:pPr>
            <w:r>
              <w:rPr>
                <w:b/>
                <w:sz w:val="20"/>
                <w:szCs w:val="20"/>
                <w:lang w:val="es-GT"/>
              </w:rPr>
              <w:t xml:space="preserve">IPC  </w:t>
            </w:r>
          </w:p>
        </w:tc>
        <w:tc>
          <w:tcPr>
            <w:tcW w:w="1296" w:type="dxa"/>
            <w:vAlign w:val="center"/>
          </w:tcPr>
          <w:p w:rsidR="007D3CA7" w:rsidRPr="007B17E2" w:rsidRDefault="00F808F9" w:rsidP="00F808F9">
            <w:pPr>
              <w:jc w:val="center"/>
              <w:rPr>
                <w:b/>
                <w:sz w:val="20"/>
                <w:szCs w:val="20"/>
                <w:lang w:val="es-GT"/>
              </w:rPr>
            </w:pPr>
            <w:r>
              <w:rPr>
                <w:b/>
                <w:sz w:val="20"/>
                <w:szCs w:val="20"/>
                <w:lang w:val="es-GT"/>
              </w:rPr>
              <w:t xml:space="preserve">Tasa de </w:t>
            </w:r>
            <w:r w:rsidR="007D3CA7" w:rsidRPr="007B17E2">
              <w:rPr>
                <w:b/>
                <w:sz w:val="20"/>
                <w:szCs w:val="20"/>
                <w:lang w:val="es-GT"/>
              </w:rPr>
              <w:t>Infla</w:t>
            </w:r>
            <w:r>
              <w:rPr>
                <w:b/>
                <w:sz w:val="20"/>
                <w:szCs w:val="20"/>
                <w:lang w:val="es-GT"/>
              </w:rPr>
              <w:t xml:space="preserve">ción  </w:t>
            </w:r>
          </w:p>
        </w:tc>
        <w:tc>
          <w:tcPr>
            <w:tcW w:w="1296" w:type="dxa"/>
            <w:vAlign w:val="center"/>
          </w:tcPr>
          <w:p w:rsidR="007D3CA7" w:rsidRPr="007B17E2" w:rsidRDefault="00F808F9" w:rsidP="00F808F9">
            <w:pPr>
              <w:jc w:val="center"/>
              <w:rPr>
                <w:b/>
                <w:sz w:val="20"/>
                <w:szCs w:val="20"/>
                <w:lang w:val="es-GT"/>
              </w:rPr>
            </w:pPr>
            <w:r>
              <w:rPr>
                <w:b/>
                <w:sz w:val="20"/>
                <w:szCs w:val="20"/>
                <w:lang w:val="es-GT"/>
              </w:rPr>
              <w:t xml:space="preserve">Precio </w:t>
            </w:r>
            <w:r w:rsidR="007D3CA7" w:rsidRPr="007B17E2">
              <w:rPr>
                <w:b/>
                <w:sz w:val="20"/>
                <w:szCs w:val="20"/>
                <w:lang w:val="es-GT"/>
              </w:rPr>
              <w:t xml:space="preserve">Real </w:t>
            </w:r>
            <w:r>
              <w:rPr>
                <w:b/>
                <w:sz w:val="20"/>
                <w:szCs w:val="20"/>
                <w:lang w:val="es-GT"/>
              </w:rPr>
              <w:t xml:space="preserve"> </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2007</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10</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1423</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100.90</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1%</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1410</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2007</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11</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1422</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102.22</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2%</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1391</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2007</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12</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1423</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103.60</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4%</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1373</w:t>
            </w:r>
          </w:p>
        </w:tc>
      </w:tr>
      <w:tr w:rsidR="009D7231" w:rsidRPr="007B17E2" w:rsidTr="00B73256">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2008</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1438</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105.45</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5%</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1364</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2008</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1505</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108.10</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8%</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1392</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2008</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3</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1632</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109.23</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9%</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1494</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2008</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4</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1684</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109.54</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10%</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1538</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2008</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5</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1726</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110.02</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10%</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1569</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2008</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6</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1834</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111.48</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11%</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1645</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2008</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7</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1869</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112.40</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12%</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1663</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lastRenderedPageBreak/>
              <w:t>2008</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8</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1934</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113.32</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13%</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1707</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2008</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9</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1987</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114.85</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15%</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1730</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2008</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10</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2089</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116.23</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16%</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1797</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2008</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11</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2211</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117.90</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18%</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1876</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2008</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12</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2270</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120.76</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21%</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1879</w:t>
            </w:r>
          </w:p>
        </w:tc>
      </w:tr>
      <w:tr w:rsidR="009D7231" w:rsidRPr="007B17E2" w:rsidTr="00B73256">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2009</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2217</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122.36</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22%</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1812</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2009</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2035</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123.19</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23%</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1652</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2009</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3</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2165</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123.53</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24%</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1753</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2009</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4</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2591</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125.17</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25%</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2070</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2009</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5</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2667</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126.16</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26%</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2114</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2009</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6</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2530</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127.53</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28%</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1984</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2009</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7</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2446</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128.13</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28%</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1909</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2009</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8</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2442</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129.57</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30%</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1885</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2009</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9</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2404</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129.74</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30%</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1853</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2009</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10</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2382</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130.49</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30%</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1825</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2009</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11</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2348</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131.48</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31%</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1786</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2009</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12</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2384</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132.75</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33%</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1796</w:t>
            </w:r>
          </w:p>
        </w:tc>
      </w:tr>
      <w:tr w:rsidR="009D7231" w:rsidRPr="007B17E2" w:rsidTr="00B73256">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2010</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1</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2433</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134.05</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34%</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1815</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2010</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2475</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135.22</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35%</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1831</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2010</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3</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2479</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136.11</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36%</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1821</w:t>
            </w:r>
          </w:p>
        </w:tc>
      </w:tr>
      <w:tr w:rsidR="009D7231" w:rsidRPr="007B17E2" w:rsidTr="00B73256">
        <w:tc>
          <w:tcPr>
            <w:tcW w:w="1008" w:type="dxa"/>
            <w:vAlign w:val="center"/>
          </w:tcPr>
          <w:p w:rsidR="009D7231" w:rsidRPr="007B17E2" w:rsidRDefault="009D7231" w:rsidP="00B73256">
            <w:pPr>
              <w:jc w:val="center"/>
              <w:rPr>
                <w:sz w:val="20"/>
                <w:szCs w:val="20"/>
                <w:lang w:val="es-GT"/>
              </w:rPr>
            </w:pPr>
            <w:r w:rsidRPr="007B17E2">
              <w:rPr>
                <w:rFonts w:cs="Arial"/>
                <w:sz w:val="20"/>
                <w:szCs w:val="20"/>
                <w:lang w:val="es-GT"/>
              </w:rPr>
              <w:t>2010</w:t>
            </w:r>
          </w:p>
        </w:tc>
        <w:tc>
          <w:tcPr>
            <w:tcW w:w="1008"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4</w:t>
            </w:r>
          </w:p>
        </w:tc>
        <w:tc>
          <w:tcPr>
            <w:tcW w:w="1710" w:type="dxa"/>
            <w:vAlign w:val="center"/>
          </w:tcPr>
          <w:p w:rsidR="009D7231" w:rsidRPr="007B17E2" w:rsidRDefault="009D7231" w:rsidP="00B73256">
            <w:pPr>
              <w:jc w:val="center"/>
              <w:rPr>
                <w:rFonts w:cs="Arial"/>
                <w:sz w:val="20"/>
                <w:szCs w:val="20"/>
                <w:lang w:val="es-GT"/>
              </w:rPr>
            </w:pPr>
            <w:r w:rsidRPr="007B17E2">
              <w:rPr>
                <w:rFonts w:cs="Arial"/>
                <w:sz w:val="20"/>
                <w:szCs w:val="20"/>
                <w:lang w:val="es-GT"/>
              </w:rPr>
              <w:t>2480</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136.72</w:t>
            </w:r>
          </w:p>
        </w:tc>
        <w:tc>
          <w:tcPr>
            <w:tcW w:w="1296" w:type="dxa"/>
            <w:vAlign w:val="bottom"/>
          </w:tcPr>
          <w:p w:rsidR="009D7231" w:rsidRPr="007B17E2" w:rsidRDefault="009D7231" w:rsidP="00B73256">
            <w:pPr>
              <w:jc w:val="center"/>
              <w:rPr>
                <w:sz w:val="20"/>
                <w:szCs w:val="20"/>
                <w:lang w:val="es-GT"/>
              </w:rPr>
            </w:pPr>
            <w:r w:rsidRPr="007B17E2">
              <w:rPr>
                <w:sz w:val="20"/>
                <w:szCs w:val="20"/>
                <w:lang w:val="es-GT"/>
              </w:rPr>
              <w:t>37%</w:t>
            </w:r>
          </w:p>
        </w:tc>
        <w:tc>
          <w:tcPr>
            <w:tcW w:w="1296" w:type="dxa"/>
            <w:vAlign w:val="center"/>
          </w:tcPr>
          <w:p w:rsidR="009D7231" w:rsidRPr="007B17E2" w:rsidRDefault="009D7231" w:rsidP="00B73256">
            <w:pPr>
              <w:jc w:val="center"/>
              <w:rPr>
                <w:sz w:val="20"/>
                <w:szCs w:val="20"/>
                <w:lang w:val="es-GT"/>
              </w:rPr>
            </w:pPr>
            <w:r w:rsidRPr="007B17E2">
              <w:rPr>
                <w:sz w:val="20"/>
                <w:szCs w:val="20"/>
                <w:lang w:val="es-GT"/>
              </w:rPr>
              <w:t>1814</w:t>
            </w:r>
          </w:p>
        </w:tc>
      </w:tr>
    </w:tbl>
    <w:p w:rsidR="00896FB1" w:rsidRPr="007B17E2" w:rsidRDefault="00896FB1" w:rsidP="00B73256">
      <w:pPr>
        <w:tabs>
          <w:tab w:val="left" w:pos="7600"/>
        </w:tabs>
        <w:spacing w:after="0" w:line="240" w:lineRule="auto"/>
        <w:rPr>
          <w:lang w:val="es-GT"/>
        </w:rPr>
      </w:pPr>
    </w:p>
    <w:p w:rsidR="00567857" w:rsidRPr="007B17E2" w:rsidRDefault="00567857" w:rsidP="00B73256">
      <w:pPr>
        <w:tabs>
          <w:tab w:val="left" w:pos="7600"/>
        </w:tabs>
        <w:spacing w:line="240" w:lineRule="auto"/>
        <w:ind w:left="720"/>
        <w:rPr>
          <w:lang w:val="es-GT"/>
        </w:rPr>
      </w:pPr>
      <w:r w:rsidRPr="007B17E2">
        <w:rPr>
          <w:noProof/>
          <w:lang w:val="es-GT" w:eastAsia="es-GT"/>
        </w:rPr>
        <w:drawing>
          <wp:inline distT="0" distB="0" distL="0" distR="0">
            <wp:extent cx="4133850" cy="22860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2ED4" w:rsidRPr="007B17E2" w:rsidRDefault="00CF3B05" w:rsidP="00E82D55">
      <w:pPr>
        <w:spacing w:line="240" w:lineRule="auto"/>
        <w:rPr>
          <w:lang w:val="es-GT"/>
        </w:rPr>
      </w:pPr>
      <w:r w:rsidRPr="007B17E2">
        <w:rPr>
          <w:b/>
          <w:lang w:val="es-GT"/>
        </w:rPr>
        <w:t>Interpreta</w:t>
      </w:r>
      <w:r w:rsidR="003817D2">
        <w:rPr>
          <w:b/>
          <w:lang w:val="es-GT"/>
        </w:rPr>
        <w:t>ción</w:t>
      </w:r>
      <w:r w:rsidRPr="007B17E2">
        <w:rPr>
          <w:b/>
          <w:lang w:val="es-GT"/>
        </w:rPr>
        <w:t>:</w:t>
      </w:r>
      <w:r w:rsidR="00882ED4" w:rsidRPr="007B17E2">
        <w:rPr>
          <w:b/>
          <w:lang w:val="es-GT"/>
        </w:rPr>
        <w:t xml:space="preserve"> </w:t>
      </w:r>
      <w:r w:rsidR="003817D2" w:rsidRPr="003817D2">
        <w:rPr>
          <w:lang w:val="es-GT"/>
        </w:rPr>
        <w:t>Cuando</w:t>
      </w:r>
      <w:r w:rsidR="003817D2">
        <w:rPr>
          <w:lang w:val="es-GT"/>
        </w:rPr>
        <w:t xml:space="preserve"> existe inflación, el análisis de los precios nominales </w:t>
      </w:r>
      <w:r w:rsidR="00467EE8">
        <w:rPr>
          <w:lang w:val="es-GT"/>
        </w:rPr>
        <w:t>puede</w:t>
      </w:r>
      <w:r w:rsidR="003817D2">
        <w:rPr>
          <w:lang w:val="es-GT"/>
        </w:rPr>
        <w:t xml:space="preserve"> llevar a diferentes conclusiones que las obtenidas del análisis de los precios reales.  El ejemplo de arriba ilustra este punto.  </w:t>
      </w:r>
    </w:p>
    <w:p w:rsidR="00781185" w:rsidRPr="007B17E2" w:rsidRDefault="003817D2" w:rsidP="00E82D55">
      <w:pPr>
        <w:spacing w:line="240" w:lineRule="auto"/>
        <w:rPr>
          <w:lang w:val="es-GT"/>
        </w:rPr>
      </w:pPr>
      <w:r>
        <w:rPr>
          <w:lang w:val="es-GT"/>
        </w:rPr>
        <w:t xml:space="preserve">El precio nominal del maíz en el mercado </w:t>
      </w:r>
      <w:r w:rsidR="00781185" w:rsidRPr="007B17E2">
        <w:rPr>
          <w:lang w:val="es-GT"/>
        </w:rPr>
        <w:t>Lusaka</w:t>
      </w:r>
      <w:r w:rsidR="009D7231" w:rsidRPr="007B17E2">
        <w:rPr>
          <w:lang w:val="es-GT"/>
        </w:rPr>
        <w:t xml:space="preserve"> </w:t>
      </w:r>
      <w:r>
        <w:rPr>
          <w:lang w:val="es-GT"/>
        </w:rPr>
        <w:t xml:space="preserve">fue de </w:t>
      </w:r>
      <w:r w:rsidR="009D7231" w:rsidRPr="007B17E2">
        <w:rPr>
          <w:lang w:val="es-GT"/>
        </w:rPr>
        <w:t xml:space="preserve">1423 ZMK/kg </w:t>
      </w:r>
      <w:r>
        <w:rPr>
          <w:lang w:val="es-GT"/>
        </w:rPr>
        <w:t xml:space="preserve">en octubre </w:t>
      </w:r>
      <w:r w:rsidR="009D7231" w:rsidRPr="007B17E2">
        <w:rPr>
          <w:lang w:val="es-GT"/>
        </w:rPr>
        <w:t>2007</w:t>
      </w:r>
      <w:r w:rsidR="00781185" w:rsidRPr="007B17E2">
        <w:rPr>
          <w:lang w:val="es-GT"/>
        </w:rPr>
        <w:t xml:space="preserve">, </w:t>
      </w:r>
      <w:r w:rsidR="009D7231" w:rsidRPr="007B17E2">
        <w:rPr>
          <w:lang w:val="es-GT"/>
        </w:rPr>
        <w:t>2089 ZMK/kg</w:t>
      </w:r>
      <w:r w:rsidR="00781185" w:rsidRPr="007B17E2">
        <w:rPr>
          <w:lang w:val="es-GT"/>
        </w:rPr>
        <w:t xml:space="preserve"> </w:t>
      </w:r>
      <w:r>
        <w:rPr>
          <w:lang w:val="es-GT"/>
        </w:rPr>
        <w:t xml:space="preserve">en octubre </w:t>
      </w:r>
      <w:r w:rsidR="009D7231" w:rsidRPr="007B17E2">
        <w:rPr>
          <w:lang w:val="es-GT"/>
        </w:rPr>
        <w:t>2008</w:t>
      </w:r>
      <w:r w:rsidR="00781185" w:rsidRPr="007B17E2">
        <w:rPr>
          <w:lang w:val="es-GT"/>
        </w:rPr>
        <w:t xml:space="preserve"> </w:t>
      </w:r>
      <w:r>
        <w:rPr>
          <w:lang w:val="es-GT"/>
        </w:rPr>
        <w:t xml:space="preserve">y </w:t>
      </w:r>
      <w:r w:rsidR="009D7231" w:rsidRPr="007B17E2">
        <w:rPr>
          <w:lang w:val="es-GT"/>
        </w:rPr>
        <w:t>2480 ZMK/kg</w:t>
      </w:r>
      <w:r w:rsidR="00781185" w:rsidRPr="007B17E2">
        <w:rPr>
          <w:lang w:val="es-GT"/>
        </w:rPr>
        <w:t xml:space="preserve"> </w:t>
      </w:r>
      <w:r>
        <w:rPr>
          <w:lang w:val="es-GT"/>
        </w:rPr>
        <w:t xml:space="preserve">en abril </w:t>
      </w:r>
      <w:r w:rsidR="009D7231" w:rsidRPr="007B17E2">
        <w:rPr>
          <w:lang w:val="es-GT"/>
        </w:rPr>
        <w:t>2010</w:t>
      </w:r>
      <w:r w:rsidR="00781185" w:rsidRPr="007B17E2">
        <w:rPr>
          <w:lang w:val="es-GT"/>
        </w:rPr>
        <w:t xml:space="preserve">. </w:t>
      </w:r>
      <w:r>
        <w:rPr>
          <w:lang w:val="es-GT"/>
        </w:rPr>
        <w:t>Utilizando</w:t>
      </w:r>
      <w:r w:rsidR="00975F01">
        <w:rPr>
          <w:lang w:val="es-GT"/>
        </w:rPr>
        <w:t xml:space="preserve"> únicamente</w:t>
      </w:r>
      <w:r>
        <w:rPr>
          <w:lang w:val="es-GT"/>
        </w:rPr>
        <w:t xml:space="preserve"> precios nominales, el analista pudo concluir que el precio del </w:t>
      </w:r>
      <w:r w:rsidR="00975F01">
        <w:rPr>
          <w:lang w:val="es-GT"/>
        </w:rPr>
        <w:t>maíz</w:t>
      </w:r>
      <w:r>
        <w:rPr>
          <w:lang w:val="es-GT"/>
        </w:rPr>
        <w:t xml:space="preserve"> ha estado aumentando con el tiempo, lo que podría sugerir que el maíz se escaseó más en el mercado relativo a la demanda. Sin embargo, utilizando precios reales, el precio del maíz ha subido solo mínimamente a lo largo del tiempo en términos reales.  </w:t>
      </w:r>
    </w:p>
    <w:p w:rsidR="00781185" w:rsidRPr="007B17E2" w:rsidRDefault="003817D2" w:rsidP="00E82D55">
      <w:pPr>
        <w:spacing w:line="240" w:lineRule="auto"/>
        <w:rPr>
          <w:lang w:val="es-GT"/>
        </w:rPr>
      </w:pPr>
      <w:r>
        <w:rPr>
          <w:lang w:val="es-GT"/>
        </w:rPr>
        <w:t xml:space="preserve">Al analizar los precios </w:t>
      </w:r>
      <w:r w:rsidR="00975F01">
        <w:rPr>
          <w:lang w:val="es-GT"/>
        </w:rPr>
        <w:t>únicamente</w:t>
      </w:r>
      <w:r>
        <w:rPr>
          <w:lang w:val="es-GT"/>
        </w:rPr>
        <w:t xml:space="preserve"> en los precios nominales</w:t>
      </w:r>
      <w:r w:rsidR="00781185" w:rsidRPr="007B17E2">
        <w:rPr>
          <w:lang w:val="es-GT"/>
        </w:rPr>
        <w:t xml:space="preserve">, </w:t>
      </w:r>
      <w:r>
        <w:rPr>
          <w:lang w:val="es-GT"/>
        </w:rPr>
        <w:t xml:space="preserve">los analistas </w:t>
      </w:r>
      <w:r w:rsidR="00975F01">
        <w:rPr>
          <w:lang w:val="es-GT"/>
        </w:rPr>
        <w:t>concluirán</w:t>
      </w:r>
      <w:r>
        <w:rPr>
          <w:lang w:val="es-GT"/>
        </w:rPr>
        <w:t xml:space="preserve"> en que los consumidores </w:t>
      </w:r>
      <w:r w:rsidR="00975F01">
        <w:rPr>
          <w:lang w:val="es-GT"/>
        </w:rPr>
        <w:t xml:space="preserve">tienen significativamente menos dinero como resultado del aumento en el precio del maíz.  La conclusión será falsa porque los consumidores </w:t>
      </w:r>
      <w:r w:rsidR="00BE1C74">
        <w:rPr>
          <w:lang w:val="es-GT"/>
        </w:rPr>
        <w:t xml:space="preserve">sólo </w:t>
      </w:r>
      <w:r w:rsidR="00975F01">
        <w:rPr>
          <w:lang w:val="es-GT"/>
        </w:rPr>
        <w:t xml:space="preserve">han visto </w:t>
      </w:r>
      <w:r w:rsidR="009A0FF7">
        <w:rPr>
          <w:lang w:val="es-GT"/>
        </w:rPr>
        <w:t>mínimos</w:t>
      </w:r>
      <w:r w:rsidR="00BE1C74">
        <w:rPr>
          <w:lang w:val="es-GT"/>
        </w:rPr>
        <w:t xml:space="preserve"> incrementos en los precios del maíz en términos reales. El precio nominal alto de maíz en </w:t>
      </w:r>
      <w:r w:rsidR="00EB1892" w:rsidRPr="007B17E2">
        <w:rPr>
          <w:lang w:val="es-GT"/>
        </w:rPr>
        <w:t>2010</w:t>
      </w:r>
      <w:r w:rsidR="00781185" w:rsidRPr="007B17E2">
        <w:rPr>
          <w:lang w:val="es-GT"/>
        </w:rPr>
        <w:t xml:space="preserve"> </w:t>
      </w:r>
      <w:r w:rsidR="00BE1C74">
        <w:rPr>
          <w:lang w:val="es-GT"/>
        </w:rPr>
        <w:t xml:space="preserve">no reflejaba una escasez de maíz, sino que fue el resultado de la inflación del precio.  </w:t>
      </w:r>
    </w:p>
    <w:p w:rsidR="00896FB1" w:rsidRPr="007B17E2" w:rsidRDefault="007D3CA7" w:rsidP="00E82D55">
      <w:pPr>
        <w:spacing w:line="240" w:lineRule="auto"/>
        <w:rPr>
          <w:lang w:val="es-GT"/>
        </w:rPr>
      </w:pPr>
      <w:r w:rsidRPr="007B17E2">
        <w:rPr>
          <w:b/>
          <w:lang w:val="es-GT"/>
        </w:rPr>
        <w:t>Limita</w:t>
      </w:r>
      <w:r w:rsidR="00F8109F">
        <w:rPr>
          <w:b/>
          <w:lang w:val="es-GT"/>
        </w:rPr>
        <w:t>ciones de utilizar precios reales</w:t>
      </w:r>
      <w:r w:rsidRPr="00F8109F">
        <w:rPr>
          <w:lang w:val="es-GT"/>
        </w:rPr>
        <w:t>:</w:t>
      </w:r>
      <w:r w:rsidR="00D36E64" w:rsidRPr="00F8109F">
        <w:rPr>
          <w:lang w:val="es-GT"/>
        </w:rPr>
        <w:t xml:space="preserve"> </w:t>
      </w:r>
      <w:r w:rsidR="00F8109F" w:rsidRPr="00F8109F">
        <w:rPr>
          <w:lang w:val="es-GT"/>
        </w:rPr>
        <w:t>En la mayoría de</w:t>
      </w:r>
      <w:r w:rsidR="00F8109F">
        <w:rPr>
          <w:b/>
          <w:lang w:val="es-GT"/>
        </w:rPr>
        <w:t xml:space="preserve"> </w:t>
      </w:r>
      <w:r w:rsidR="00F8109F" w:rsidRPr="00F8109F">
        <w:rPr>
          <w:lang w:val="es-GT"/>
        </w:rPr>
        <w:t>países,</w:t>
      </w:r>
      <w:r w:rsidR="00F8109F">
        <w:rPr>
          <w:b/>
          <w:lang w:val="es-GT"/>
        </w:rPr>
        <w:t xml:space="preserve"> </w:t>
      </w:r>
      <w:r w:rsidR="00F8109F">
        <w:rPr>
          <w:lang w:val="es-GT"/>
        </w:rPr>
        <w:t xml:space="preserve">los precios de </w:t>
      </w:r>
      <w:r w:rsidR="007C441A">
        <w:rPr>
          <w:lang w:val="es-GT"/>
        </w:rPr>
        <w:t xml:space="preserve">los </w:t>
      </w:r>
      <w:r w:rsidR="00F8109F">
        <w:rPr>
          <w:lang w:val="es-GT"/>
        </w:rPr>
        <w:t xml:space="preserve">alimentos representan el 20-25 por ciento del IPC. Esto significa que en los países donde los precios de los alimentos están aumentando más rápido que el resto de los artículos de la canasta de bienes y servicios en el IPC, </w:t>
      </w:r>
      <w:r w:rsidR="007C441A">
        <w:rPr>
          <w:lang w:val="es-GT"/>
        </w:rPr>
        <w:t xml:space="preserve">la </w:t>
      </w:r>
      <w:r w:rsidR="009A0FF7">
        <w:rPr>
          <w:lang w:val="es-GT"/>
        </w:rPr>
        <w:t xml:space="preserve">deflación de los </w:t>
      </w:r>
      <w:r w:rsidR="00F8109F">
        <w:rPr>
          <w:lang w:val="es-GT"/>
        </w:rPr>
        <w:t xml:space="preserve">precios </w:t>
      </w:r>
      <w:r w:rsidR="009A0FF7">
        <w:rPr>
          <w:lang w:val="es-GT"/>
        </w:rPr>
        <w:t xml:space="preserve">utilizando el </w:t>
      </w:r>
      <w:r w:rsidR="00D36E64" w:rsidRPr="007B17E2">
        <w:rPr>
          <w:lang w:val="es-GT"/>
        </w:rPr>
        <w:t xml:space="preserve">CPI </w:t>
      </w:r>
      <w:r w:rsidR="009A0FF7">
        <w:rPr>
          <w:lang w:val="es-GT"/>
        </w:rPr>
        <w:t xml:space="preserve">subestimará el grado de los incrementos en </w:t>
      </w:r>
      <w:r w:rsidR="007C441A">
        <w:rPr>
          <w:lang w:val="es-GT"/>
        </w:rPr>
        <w:t xml:space="preserve">los precios reales </w:t>
      </w:r>
      <w:r w:rsidR="009A0FF7">
        <w:rPr>
          <w:lang w:val="es-GT"/>
        </w:rPr>
        <w:t xml:space="preserve">de los alimentos </w:t>
      </w:r>
      <w:r w:rsidR="00D36E64" w:rsidRPr="007B17E2">
        <w:rPr>
          <w:lang w:val="es-GT"/>
        </w:rPr>
        <w:t>(</w:t>
      </w:r>
      <w:r w:rsidR="009A0FF7">
        <w:rPr>
          <w:lang w:val="es-GT"/>
        </w:rPr>
        <w:t xml:space="preserve">y </w:t>
      </w:r>
      <w:r w:rsidR="00D36E64" w:rsidRPr="007B17E2">
        <w:rPr>
          <w:lang w:val="es-GT"/>
        </w:rPr>
        <w:t xml:space="preserve">vice versa). </w:t>
      </w:r>
      <w:r w:rsidR="009A0FF7">
        <w:rPr>
          <w:lang w:val="es-GT"/>
        </w:rPr>
        <w:t xml:space="preserve">En estos casos, ajustar los </w:t>
      </w:r>
      <w:r w:rsidR="009A0FF7">
        <w:rPr>
          <w:lang w:val="es-GT"/>
        </w:rPr>
        <w:lastRenderedPageBreak/>
        <w:t xml:space="preserve">precios de los alimentos por medio del Índice  de Precios de los Alimentos </w:t>
      </w:r>
      <w:r w:rsidR="00467EE8">
        <w:rPr>
          <w:lang w:val="es-GT"/>
        </w:rPr>
        <w:t>puede</w:t>
      </w:r>
      <w:r w:rsidR="009A0FF7">
        <w:rPr>
          <w:lang w:val="es-GT"/>
        </w:rPr>
        <w:t xml:space="preserve"> ser una mejor indicación del precio real de los alimentos.  </w:t>
      </w:r>
    </w:p>
    <w:p w:rsidR="00896FB1" w:rsidRDefault="009A0FF7" w:rsidP="00E82D55">
      <w:pPr>
        <w:spacing w:line="240" w:lineRule="auto"/>
        <w:rPr>
          <w:lang w:val="es-GT"/>
        </w:rPr>
      </w:pPr>
      <w:r>
        <w:rPr>
          <w:lang w:val="es-GT"/>
        </w:rPr>
        <w:t xml:space="preserve">Los precios reales también </w:t>
      </w:r>
      <w:r w:rsidR="00467EE8">
        <w:rPr>
          <w:lang w:val="es-GT"/>
        </w:rPr>
        <w:t xml:space="preserve">proveen </w:t>
      </w:r>
      <w:r>
        <w:rPr>
          <w:lang w:val="es-GT"/>
        </w:rPr>
        <w:t xml:space="preserve">poca información a los </w:t>
      </w:r>
      <w:r w:rsidR="00467EE8">
        <w:rPr>
          <w:lang w:val="es-GT"/>
        </w:rPr>
        <w:t>consumidores y otros actores de mercado porque ellos observan los precios nominales</w:t>
      </w:r>
      <w:r w:rsidR="00D36E64" w:rsidRPr="007B17E2">
        <w:rPr>
          <w:lang w:val="es-GT"/>
        </w:rPr>
        <w:t xml:space="preserve">. </w:t>
      </w:r>
      <w:r w:rsidR="00467EE8">
        <w:rPr>
          <w:lang w:val="es-GT"/>
        </w:rPr>
        <w:t xml:space="preserve">Por ello, es importante reportar precios nominales pero analizar tanto los precios nominales como los precios reales.  </w:t>
      </w:r>
    </w:p>
    <w:p w:rsidR="00467EE8" w:rsidRDefault="00467EE8" w:rsidP="00E82D55">
      <w:pPr>
        <w:spacing w:line="240" w:lineRule="auto"/>
        <w:rPr>
          <w:lang w:val="es-GT"/>
        </w:rPr>
      </w:pPr>
    </w:p>
    <w:p w:rsidR="00467EE8" w:rsidRDefault="00467EE8" w:rsidP="00E82D55">
      <w:pPr>
        <w:spacing w:line="240" w:lineRule="auto"/>
        <w:rPr>
          <w:lang w:val="es-GT"/>
        </w:rPr>
      </w:pPr>
    </w:p>
    <w:p w:rsidR="00467EE8" w:rsidRPr="007B17E2" w:rsidRDefault="00467EE8" w:rsidP="00E82D55">
      <w:pPr>
        <w:spacing w:line="240" w:lineRule="auto"/>
        <w:rPr>
          <w:lang w:val="es-GT"/>
        </w:rPr>
      </w:pPr>
    </w:p>
    <w:sectPr w:rsidR="00467EE8" w:rsidRPr="007B17E2" w:rsidSect="00B73256">
      <w:headerReference w:type="default" r:id="rId10"/>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DA" w:rsidRDefault="001E59DA" w:rsidP="00B16F42">
      <w:pPr>
        <w:spacing w:after="0" w:line="240" w:lineRule="auto"/>
      </w:pPr>
      <w:r>
        <w:separator/>
      </w:r>
    </w:p>
  </w:endnote>
  <w:endnote w:type="continuationSeparator" w:id="0">
    <w:p w:rsidR="001E59DA" w:rsidRDefault="001E59DA" w:rsidP="00B1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DA" w:rsidRDefault="001E59DA" w:rsidP="00B16F42">
      <w:pPr>
        <w:spacing w:after="0" w:line="240" w:lineRule="auto"/>
      </w:pPr>
      <w:r>
        <w:separator/>
      </w:r>
    </w:p>
  </w:footnote>
  <w:footnote w:type="continuationSeparator" w:id="0">
    <w:p w:rsidR="001E59DA" w:rsidRDefault="001E59DA" w:rsidP="00B16F42">
      <w:pPr>
        <w:spacing w:after="0" w:line="240" w:lineRule="auto"/>
      </w:pPr>
      <w:r>
        <w:continuationSeparator/>
      </w:r>
    </w:p>
  </w:footnote>
  <w:footnote w:id="1">
    <w:p w:rsidR="00E82D55" w:rsidRPr="00F808F9" w:rsidRDefault="00E82D55" w:rsidP="00E82D55">
      <w:pPr>
        <w:spacing w:after="0" w:line="240" w:lineRule="auto"/>
        <w:rPr>
          <w:sz w:val="20"/>
          <w:szCs w:val="20"/>
          <w:lang w:val="es-GT"/>
        </w:rPr>
      </w:pPr>
      <w:r w:rsidRPr="00E82D55">
        <w:rPr>
          <w:rStyle w:val="Refdenotaalpie"/>
          <w:sz w:val="20"/>
          <w:szCs w:val="20"/>
        </w:rPr>
        <w:footnoteRef/>
      </w:r>
      <w:r w:rsidRPr="00E3520A">
        <w:rPr>
          <w:sz w:val="20"/>
          <w:szCs w:val="20"/>
          <w:lang w:val="es-GT"/>
        </w:rPr>
        <w:t xml:space="preserve"> </w:t>
      </w:r>
      <w:r w:rsidRPr="00F808F9">
        <w:rPr>
          <w:i/>
          <w:sz w:val="20"/>
          <w:szCs w:val="20"/>
          <w:lang w:val="es-GT"/>
        </w:rPr>
        <w:t>Ex</w:t>
      </w:r>
      <w:r w:rsidR="00F808F9" w:rsidRPr="00F808F9">
        <w:rPr>
          <w:i/>
          <w:sz w:val="20"/>
          <w:szCs w:val="20"/>
          <w:lang w:val="es-GT"/>
        </w:rPr>
        <w:t>tractos tomados</w:t>
      </w:r>
      <w:r w:rsidR="00F808F9" w:rsidRPr="00E3520A">
        <w:rPr>
          <w:i/>
          <w:sz w:val="20"/>
          <w:szCs w:val="20"/>
          <w:lang w:val="es-GT"/>
        </w:rPr>
        <w:t xml:space="preserve"> de </w:t>
      </w:r>
      <w:r w:rsidRPr="00E3520A">
        <w:rPr>
          <w:i/>
          <w:sz w:val="20"/>
          <w:szCs w:val="20"/>
          <w:lang w:val="es-GT"/>
        </w:rPr>
        <w:t xml:space="preserve">FEWS NET </w:t>
      </w:r>
      <w:r w:rsidRPr="007C441A">
        <w:rPr>
          <w:i/>
          <w:sz w:val="20"/>
          <w:szCs w:val="20"/>
          <w:lang w:val="es-GT"/>
        </w:rPr>
        <w:t xml:space="preserve">Markets Guidance, </w:t>
      </w:r>
      <w:r w:rsidRPr="00E3520A">
        <w:rPr>
          <w:i/>
          <w:sz w:val="20"/>
          <w:szCs w:val="20"/>
          <w:lang w:val="es-GT"/>
        </w:rPr>
        <w:t>No. 3.</w:t>
      </w:r>
      <w:r w:rsidRPr="00E3520A">
        <w:rPr>
          <w:sz w:val="20"/>
          <w:szCs w:val="20"/>
          <w:lang w:val="es-GT"/>
        </w:rPr>
        <w:t xml:space="preserve">  </w:t>
      </w:r>
      <w:r w:rsidR="00F808F9" w:rsidRPr="00F808F9">
        <w:rPr>
          <w:sz w:val="20"/>
          <w:szCs w:val="20"/>
          <w:lang w:val="es-GT"/>
        </w:rPr>
        <w:t>Ver el document</w:t>
      </w:r>
      <w:r w:rsidR="00F808F9">
        <w:rPr>
          <w:sz w:val="20"/>
          <w:szCs w:val="20"/>
          <w:lang w:val="es-GT"/>
        </w:rPr>
        <w:t>o</w:t>
      </w:r>
      <w:r w:rsidR="00F808F9" w:rsidRPr="00F808F9">
        <w:rPr>
          <w:sz w:val="20"/>
          <w:szCs w:val="20"/>
          <w:lang w:val="es-GT"/>
        </w:rPr>
        <w:t xml:space="preserve"> </w:t>
      </w:r>
      <w:r w:rsidR="00F808F9">
        <w:rPr>
          <w:sz w:val="20"/>
          <w:szCs w:val="20"/>
          <w:lang w:val="es-GT"/>
        </w:rPr>
        <w:t>completo</w:t>
      </w:r>
      <w:r w:rsidR="00F808F9" w:rsidRPr="00F808F9">
        <w:rPr>
          <w:sz w:val="20"/>
          <w:szCs w:val="20"/>
          <w:lang w:val="es-GT"/>
        </w:rPr>
        <w:t xml:space="preserve"> en</w:t>
      </w:r>
      <w:r w:rsidRPr="00E3520A">
        <w:rPr>
          <w:sz w:val="20"/>
          <w:szCs w:val="20"/>
          <w:lang w:val="es-GT"/>
        </w:rPr>
        <w:t xml:space="preserve">: </w:t>
      </w:r>
      <w:hyperlink r:id="rId1" w:history="1">
        <w:r w:rsidRPr="00E3520A">
          <w:rPr>
            <w:rStyle w:val="Hipervnculo"/>
            <w:i/>
            <w:sz w:val="20"/>
            <w:szCs w:val="20"/>
            <w:lang w:val="es-GT"/>
          </w:rPr>
          <w:t>http://www.fews.net/sites/default/files/MT%20Guidance_Price%20Adjustment%20for%20Inflation_No%203_En.pdf</w:t>
        </w:r>
      </w:hyperlink>
      <w:r w:rsidRPr="00E3520A">
        <w:rPr>
          <w:i/>
          <w:sz w:val="20"/>
          <w:szCs w:val="20"/>
          <w:lang w:val="es-GT"/>
        </w:rPr>
        <w:t xml:space="preserve"> </w:t>
      </w:r>
      <w:r w:rsidRPr="00E3520A">
        <w:rPr>
          <w:sz w:val="20"/>
          <w:szCs w:val="20"/>
          <w:lang w:val="es-GT"/>
        </w:rPr>
        <w:t>(</w:t>
      </w:r>
      <w:r w:rsidR="00F808F9" w:rsidRPr="00E3520A">
        <w:rPr>
          <w:sz w:val="20"/>
          <w:szCs w:val="20"/>
          <w:lang w:val="es-GT"/>
        </w:rPr>
        <w:t xml:space="preserve">en esta hoja de </w:t>
      </w:r>
      <w:r w:rsidR="00E3520A">
        <w:rPr>
          <w:sz w:val="20"/>
          <w:szCs w:val="20"/>
          <w:lang w:val="es-GT"/>
        </w:rPr>
        <w:t>trabajo se utiliza</w:t>
      </w:r>
      <w:r w:rsidR="00F808F9" w:rsidRPr="00E3520A">
        <w:rPr>
          <w:sz w:val="20"/>
          <w:szCs w:val="20"/>
          <w:lang w:val="es-GT"/>
        </w:rPr>
        <w:t xml:space="preserve"> un ejemplo distinto al utilizado </w:t>
      </w:r>
      <w:r w:rsidR="00F808F9">
        <w:rPr>
          <w:sz w:val="20"/>
          <w:szCs w:val="20"/>
          <w:lang w:val="es-GT"/>
        </w:rPr>
        <w:t xml:space="preserve">en el </w:t>
      </w:r>
      <w:r w:rsidR="00E3520A">
        <w:rPr>
          <w:sz w:val="20"/>
          <w:szCs w:val="20"/>
          <w:lang w:val="es-GT"/>
        </w:rPr>
        <w:t>documento</w:t>
      </w:r>
      <w:r w:rsidR="00F808F9">
        <w:rPr>
          <w:sz w:val="20"/>
          <w:szCs w:val="20"/>
          <w:lang w:val="es-GT"/>
        </w:rPr>
        <w:t xml:space="preserve"> de </w:t>
      </w:r>
      <w:r w:rsidRPr="00F808F9">
        <w:rPr>
          <w:sz w:val="20"/>
          <w:szCs w:val="20"/>
          <w:lang w:val="es-GT"/>
        </w:rPr>
        <w:t>FEWS)</w:t>
      </w:r>
    </w:p>
  </w:footnote>
  <w:footnote w:id="2">
    <w:p w:rsidR="00E82D55" w:rsidRPr="00F808F9" w:rsidRDefault="00E82D55">
      <w:pPr>
        <w:pStyle w:val="Textonotapie"/>
        <w:rPr>
          <w:lang w:val="es-GT"/>
        </w:rPr>
      </w:pPr>
      <w:r w:rsidRPr="00F808F9">
        <w:rPr>
          <w:rStyle w:val="Refdenotaalpie"/>
          <w:lang w:val="es-GT"/>
        </w:rPr>
        <w:footnoteRef/>
      </w:r>
      <w:r w:rsidRPr="00F808F9">
        <w:rPr>
          <w:lang w:val="es-GT"/>
        </w:rPr>
        <w:t xml:space="preserve"> </w:t>
      </w:r>
      <w:r w:rsidR="00F808F9">
        <w:rPr>
          <w:lang w:val="es-GT"/>
        </w:rPr>
        <w:t xml:space="preserve">El IPC mensual y las tasas de inflación generalmente se publican por el Instituto de Estadística de un país y se puede encontrar en </w:t>
      </w:r>
      <w:r w:rsidR="007C441A">
        <w:rPr>
          <w:lang w:val="es-GT"/>
        </w:rPr>
        <w:t xml:space="preserve"> </w:t>
      </w:r>
      <w:r w:rsidR="00F808F9">
        <w:rPr>
          <w:lang w:val="es-GT"/>
        </w:rPr>
        <w:t>Internet</w:t>
      </w:r>
      <w:r w:rsidRPr="00F808F9">
        <w:rPr>
          <w:lang w:val="es-G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E1F" w:rsidRPr="007B17E2" w:rsidRDefault="007B17E2" w:rsidP="00B73256">
    <w:pPr>
      <w:pStyle w:val="Encabezado"/>
      <w:spacing w:after="240"/>
      <w:rPr>
        <w:color w:val="808080" w:themeColor="background1" w:themeShade="80"/>
        <w:lang w:val="es-GT"/>
      </w:rPr>
    </w:pPr>
    <w:r w:rsidRPr="007B17E2">
      <w:rPr>
        <w:color w:val="808080" w:themeColor="background1" w:themeShade="80"/>
        <w:lang w:val="es-GT"/>
      </w:rPr>
      <w:t xml:space="preserve">Para </w:t>
    </w:r>
    <w:r w:rsidR="002A7FDF">
      <w:rPr>
        <w:color w:val="808080" w:themeColor="background1" w:themeShade="80"/>
        <w:lang w:val="es-GT"/>
      </w:rPr>
      <w:t xml:space="preserve">utilizarse </w:t>
    </w:r>
    <w:r w:rsidRPr="007B17E2">
      <w:rPr>
        <w:color w:val="808080" w:themeColor="background1" w:themeShade="80"/>
        <w:lang w:val="es-GT"/>
      </w:rPr>
      <w:t xml:space="preserve">con el Manual </w:t>
    </w:r>
    <w:r w:rsidR="00FC2E1F" w:rsidRPr="007B17E2">
      <w:rPr>
        <w:color w:val="808080" w:themeColor="background1" w:themeShade="80"/>
        <w:lang w:val="es-GT"/>
      </w:rPr>
      <w:t>MARKit</w:t>
    </w:r>
    <w:r w:rsidRPr="007B17E2">
      <w:rPr>
        <w:color w:val="808080" w:themeColor="background1" w:themeShade="80"/>
        <w:lang w:val="es-GT"/>
      </w:rPr>
      <w:t>,</w:t>
    </w:r>
    <w:r w:rsidR="00FC2E1F" w:rsidRPr="007B17E2">
      <w:rPr>
        <w:color w:val="808080" w:themeColor="background1" w:themeShade="80"/>
        <w:lang w:val="es-GT"/>
      </w:rPr>
      <w:t xml:space="preserve"> sec</w:t>
    </w:r>
    <w:r w:rsidRPr="007B17E2">
      <w:rPr>
        <w:color w:val="808080" w:themeColor="background1" w:themeShade="80"/>
        <w:lang w:val="es-GT"/>
      </w:rPr>
      <w:t xml:space="preserve">ción </w:t>
    </w:r>
    <w:r w:rsidR="00FC2E1F" w:rsidRPr="007B17E2">
      <w:rPr>
        <w:color w:val="808080" w:themeColor="background1" w:themeShade="80"/>
        <w:lang w:val="es-GT"/>
      </w:rPr>
      <w:t>5.8 Infla</w:t>
    </w:r>
    <w:r w:rsidRPr="007B17E2">
      <w:rPr>
        <w:color w:val="808080" w:themeColor="background1" w:themeShade="80"/>
        <w:lang w:val="es-GT"/>
      </w:rPr>
      <w:t xml:space="preserve">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6E31"/>
    <w:multiLevelType w:val="hybridMultilevel"/>
    <w:tmpl w:val="0590B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0370D"/>
    <w:multiLevelType w:val="hybridMultilevel"/>
    <w:tmpl w:val="C71C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154BA1"/>
    <w:multiLevelType w:val="hybridMultilevel"/>
    <w:tmpl w:val="B0148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4C1291"/>
    <w:multiLevelType w:val="hybridMultilevel"/>
    <w:tmpl w:val="D7B02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65AE"/>
    <w:rsid w:val="0005768D"/>
    <w:rsid w:val="000C3C05"/>
    <w:rsid w:val="001E59DA"/>
    <w:rsid w:val="001E7978"/>
    <w:rsid w:val="0021221C"/>
    <w:rsid w:val="00220D25"/>
    <w:rsid w:val="002876E7"/>
    <w:rsid w:val="002A7FDF"/>
    <w:rsid w:val="002C27F6"/>
    <w:rsid w:val="002F6C90"/>
    <w:rsid w:val="00325B19"/>
    <w:rsid w:val="00362C08"/>
    <w:rsid w:val="003817D2"/>
    <w:rsid w:val="003B75D1"/>
    <w:rsid w:val="004114C0"/>
    <w:rsid w:val="004165AE"/>
    <w:rsid w:val="00442133"/>
    <w:rsid w:val="00467EE8"/>
    <w:rsid w:val="0048509F"/>
    <w:rsid w:val="004E1EA6"/>
    <w:rsid w:val="00567857"/>
    <w:rsid w:val="0061671A"/>
    <w:rsid w:val="0063767B"/>
    <w:rsid w:val="00714BC7"/>
    <w:rsid w:val="00730C31"/>
    <w:rsid w:val="00781185"/>
    <w:rsid w:val="00786D87"/>
    <w:rsid w:val="007B17E2"/>
    <w:rsid w:val="007C441A"/>
    <w:rsid w:val="007D3CA7"/>
    <w:rsid w:val="00882ED4"/>
    <w:rsid w:val="0088643D"/>
    <w:rsid w:val="00896FB1"/>
    <w:rsid w:val="00924B70"/>
    <w:rsid w:val="00964B8B"/>
    <w:rsid w:val="00975F01"/>
    <w:rsid w:val="009A0FF7"/>
    <w:rsid w:val="009D7231"/>
    <w:rsid w:val="009E4058"/>
    <w:rsid w:val="00A0350D"/>
    <w:rsid w:val="00A1080E"/>
    <w:rsid w:val="00A33933"/>
    <w:rsid w:val="00A50115"/>
    <w:rsid w:val="00AD1F1B"/>
    <w:rsid w:val="00AE1B66"/>
    <w:rsid w:val="00AE3FA8"/>
    <w:rsid w:val="00B045F9"/>
    <w:rsid w:val="00B16F42"/>
    <w:rsid w:val="00B448D4"/>
    <w:rsid w:val="00B73256"/>
    <w:rsid w:val="00B7614C"/>
    <w:rsid w:val="00BE1C74"/>
    <w:rsid w:val="00BF58A5"/>
    <w:rsid w:val="00C425E2"/>
    <w:rsid w:val="00C469D1"/>
    <w:rsid w:val="00C865D8"/>
    <w:rsid w:val="00C962EB"/>
    <w:rsid w:val="00CC690B"/>
    <w:rsid w:val="00CE63C5"/>
    <w:rsid w:val="00CF3B05"/>
    <w:rsid w:val="00D32DBE"/>
    <w:rsid w:val="00D36E64"/>
    <w:rsid w:val="00D3732D"/>
    <w:rsid w:val="00D774B2"/>
    <w:rsid w:val="00D9023D"/>
    <w:rsid w:val="00E3520A"/>
    <w:rsid w:val="00E82D55"/>
    <w:rsid w:val="00EB1892"/>
    <w:rsid w:val="00EB452D"/>
    <w:rsid w:val="00EB5CBD"/>
    <w:rsid w:val="00F154F2"/>
    <w:rsid w:val="00F808F9"/>
    <w:rsid w:val="00F8109F"/>
    <w:rsid w:val="00FC2E1F"/>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4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452D"/>
    <w:pPr>
      <w:ind w:left="720"/>
      <w:contextualSpacing/>
    </w:pPr>
  </w:style>
  <w:style w:type="table" w:styleId="Tablaconcuadrcula">
    <w:name w:val="Table Grid"/>
    <w:basedOn w:val="Tablanormal"/>
    <w:uiPriority w:val="59"/>
    <w:rsid w:val="00C4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F3B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B05"/>
    <w:rPr>
      <w:rFonts w:ascii="Tahoma" w:hAnsi="Tahoma" w:cs="Tahoma"/>
      <w:sz w:val="16"/>
      <w:szCs w:val="16"/>
    </w:rPr>
  </w:style>
  <w:style w:type="paragraph" w:styleId="Textonotapie">
    <w:name w:val="footnote text"/>
    <w:basedOn w:val="Normal"/>
    <w:link w:val="TextonotapieCar"/>
    <w:uiPriority w:val="99"/>
    <w:semiHidden/>
    <w:unhideWhenUsed/>
    <w:rsid w:val="00B16F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F42"/>
    <w:rPr>
      <w:sz w:val="20"/>
      <w:szCs w:val="20"/>
    </w:rPr>
  </w:style>
  <w:style w:type="character" w:styleId="Refdenotaalpie">
    <w:name w:val="footnote reference"/>
    <w:basedOn w:val="Fuentedeprrafopredeter"/>
    <w:uiPriority w:val="99"/>
    <w:semiHidden/>
    <w:unhideWhenUsed/>
    <w:rsid w:val="00B16F42"/>
    <w:rPr>
      <w:vertAlign w:val="superscript"/>
    </w:rPr>
  </w:style>
  <w:style w:type="character" w:styleId="Hipervnculo">
    <w:name w:val="Hyperlink"/>
    <w:basedOn w:val="Fuentedeprrafopredeter"/>
    <w:uiPriority w:val="99"/>
    <w:unhideWhenUsed/>
    <w:rsid w:val="003B75D1"/>
    <w:rPr>
      <w:color w:val="0000FF" w:themeColor="hyperlink"/>
      <w:u w:val="single"/>
    </w:rPr>
  </w:style>
  <w:style w:type="character" w:styleId="Refdecomentario">
    <w:name w:val="annotation reference"/>
    <w:basedOn w:val="Fuentedeprrafopredeter"/>
    <w:uiPriority w:val="99"/>
    <w:semiHidden/>
    <w:unhideWhenUsed/>
    <w:rsid w:val="004E1EA6"/>
    <w:rPr>
      <w:sz w:val="16"/>
      <w:szCs w:val="16"/>
    </w:rPr>
  </w:style>
  <w:style w:type="paragraph" w:styleId="Textocomentario">
    <w:name w:val="annotation text"/>
    <w:basedOn w:val="Normal"/>
    <w:link w:val="TextocomentarioCar"/>
    <w:uiPriority w:val="99"/>
    <w:semiHidden/>
    <w:unhideWhenUsed/>
    <w:rsid w:val="004E1E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1EA6"/>
    <w:rPr>
      <w:sz w:val="20"/>
      <w:szCs w:val="20"/>
    </w:rPr>
  </w:style>
  <w:style w:type="paragraph" w:styleId="Asuntodelcomentario">
    <w:name w:val="annotation subject"/>
    <w:basedOn w:val="Textocomentario"/>
    <w:next w:val="Textocomentario"/>
    <w:link w:val="AsuntodelcomentarioCar"/>
    <w:uiPriority w:val="99"/>
    <w:semiHidden/>
    <w:unhideWhenUsed/>
    <w:rsid w:val="004E1EA6"/>
    <w:rPr>
      <w:b/>
      <w:bCs/>
    </w:rPr>
  </w:style>
  <w:style w:type="character" w:customStyle="1" w:styleId="AsuntodelcomentarioCar">
    <w:name w:val="Asunto del comentario Car"/>
    <w:basedOn w:val="TextocomentarioCar"/>
    <w:link w:val="Asuntodelcomentario"/>
    <w:uiPriority w:val="99"/>
    <w:semiHidden/>
    <w:rsid w:val="004E1EA6"/>
    <w:rPr>
      <w:b/>
      <w:bCs/>
      <w:sz w:val="20"/>
      <w:szCs w:val="20"/>
    </w:rPr>
  </w:style>
  <w:style w:type="paragraph" w:styleId="Encabezado">
    <w:name w:val="header"/>
    <w:basedOn w:val="Normal"/>
    <w:link w:val="EncabezadoCar"/>
    <w:uiPriority w:val="99"/>
    <w:unhideWhenUsed/>
    <w:rsid w:val="00FC2E1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C2E1F"/>
  </w:style>
  <w:style w:type="paragraph" w:styleId="Piedepgina">
    <w:name w:val="footer"/>
    <w:basedOn w:val="Normal"/>
    <w:link w:val="PiedepginaCar"/>
    <w:uiPriority w:val="99"/>
    <w:unhideWhenUsed/>
    <w:rsid w:val="00FC2E1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C2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8541">
      <w:bodyDiv w:val="1"/>
      <w:marLeft w:val="0"/>
      <w:marRight w:val="0"/>
      <w:marTop w:val="0"/>
      <w:marBottom w:val="0"/>
      <w:divBdr>
        <w:top w:val="none" w:sz="0" w:space="0" w:color="auto"/>
        <w:left w:val="none" w:sz="0" w:space="0" w:color="auto"/>
        <w:bottom w:val="none" w:sz="0" w:space="0" w:color="auto"/>
        <w:right w:val="none" w:sz="0" w:space="0" w:color="auto"/>
      </w:divBdr>
    </w:div>
    <w:div w:id="11630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www.fews.net/sites/default/files/MT%20Guidance_Price%20Adjustment%20for%20Inflation_No%203_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ers\mmcglinchy\Downloads\Lusaka_breakfast_meal_&amp;_wholesale_maize_grain_prices_for_AC%2028Sep10_nm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Precios Reales versus </a:t>
            </a:r>
          </a:p>
          <a:p>
            <a:pPr>
              <a:defRPr/>
            </a:pPr>
            <a:r>
              <a:rPr lang="en-US"/>
              <a:t>Precios Nominales </a:t>
            </a:r>
          </a:p>
        </c:rich>
      </c:tx>
      <c:overlay val="0"/>
    </c:title>
    <c:autoTitleDeleted val="0"/>
    <c:plotArea>
      <c:layout/>
      <c:lineChart>
        <c:grouping val="standard"/>
        <c:varyColors val="0"/>
        <c:ser>
          <c:idx val="0"/>
          <c:order val="0"/>
          <c:tx>
            <c:v>Nominal</c:v>
          </c:tx>
          <c:marker>
            <c:symbol val="none"/>
          </c:marker>
          <c:cat>
            <c:numRef>
              <c:f>'[Lusaka_breakfast_meal_&amp;_wholesale_maize_grain_prices_for_AC 28Sep10_nm1.xlsx]data'!$A$12:$A$42</c:f>
              <c:numCache>
                <c:formatCode>0</c:formatCode>
                <c:ptCount val="31"/>
                <c:pt idx="0">
                  <c:v>2007</c:v>
                </c:pt>
                <c:pt idx="1">
                  <c:v>2007</c:v>
                </c:pt>
                <c:pt idx="2">
                  <c:v>2007</c:v>
                </c:pt>
                <c:pt idx="3">
                  <c:v>2008</c:v>
                </c:pt>
                <c:pt idx="4">
                  <c:v>2008</c:v>
                </c:pt>
                <c:pt idx="5">
                  <c:v>2008</c:v>
                </c:pt>
                <c:pt idx="6">
                  <c:v>2008</c:v>
                </c:pt>
                <c:pt idx="7">
                  <c:v>2008</c:v>
                </c:pt>
                <c:pt idx="8">
                  <c:v>2008</c:v>
                </c:pt>
                <c:pt idx="9">
                  <c:v>2008</c:v>
                </c:pt>
                <c:pt idx="10">
                  <c:v>2008</c:v>
                </c:pt>
                <c:pt idx="11">
                  <c:v>2008</c:v>
                </c:pt>
                <c:pt idx="12">
                  <c:v>2008</c:v>
                </c:pt>
                <c:pt idx="13">
                  <c:v>2008</c:v>
                </c:pt>
                <c:pt idx="14">
                  <c:v>2008</c:v>
                </c:pt>
                <c:pt idx="15">
                  <c:v>2009</c:v>
                </c:pt>
                <c:pt idx="16">
                  <c:v>2009</c:v>
                </c:pt>
                <c:pt idx="17">
                  <c:v>2009</c:v>
                </c:pt>
                <c:pt idx="18">
                  <c:v>2009</c:v>
                </c:pt>
                <c:pt idx="19">
                  <c:v>2009</c:v>
                </c:pt>
                <c:pt idx="20">
                  <c:v>2009</c:v>
                </c:pt>
                <c:pt idx="21">
                  <c:v>2009</c:v>
                </c:pt>
                <c:pt idx="22">
                  <c:v>2009</c:v>
                </c:pt>
                <c:pt idx="23">
                  <c:v>2009</c:v>
                </c:pt>
                <c:pt idx="24">
                  <c:v>2009</c:v>
                </c:pt>
                <c:pt idx="25">
                  <c:v>2009</c:v>
                </c:pt>
                <c:pt idx="26">
                  <c:v>2009</c:v>
                </c:pt>
                <c:pt idx="27">
                  <c:v>2010</c:v>
                </c:pt>
                <c:pt idx="28">
                  <c:v>2010</c:v>
                </c:pt>
                <c:pt idx="29">
                  <c:v>2010</c:v>
                </c:pt>
                <c:pt idx="30">
                  <c:v>2010</c:v>
                </c:pt>
              </c:numCache>
            </c:numRef>
          </c:cat>
          <c:val>
            <c:numRef>
              <c:f>'[Lusaka_breakfast_meal_&amp;_wholesale_maize_grain_prices_for_AC 28Sep10_nm1.xlsx]data'!$C$12:$C$42</c:f>
              <c:numCache>
                <c:formatCode>0</c:formatCode>
                <c:ptCount val="31"/>
                <c:pt idx="0">
                  <c:v>1422.8</c:v>
                </c:pt>
                <c:pt idx="1">
                  <c:v>1421.8799999999999</c:v>
                </c:pt>
                <c:pt idx="2">
                  <c:v>1422.76</c:v>
                </c:pt>
                <c:pt idx="3">
                  <c:v>1438.1599999999999</c:v>
                </c:pt>
                <c:pt idx="4">
                  <c:v>1504.76</c:v>
                </c:pt>
                <c:pt idx="5">
                  <c:v>1632.04</c:v>
                </c:pt>
                <c:pt idx="6">
                  <c:v>1684.32</c:v>
                </c:pt>
                <c:pt idx="7">
                  <c:v>1726.24</c:v>
                </c:pt>
                <c:pt idx="8">
                  <c:v>1833.6399999999999</c:v>
                </c:pt>
                <c:pt idx="9">
                  <c:v>1869.1599999999999</c:v>
                </c:pt>
                <c:pt idx="10">
                  <c:v>1934.24</c:v>
                </c:pt>
                <c:pt idx="11">
                  <c:v>1987.32</c:v>
                </c:pt>
                <c:pt idx="12">
                  <c:v>2088.6799999999998</c:v>
                </c:pt>
                <c:pt idx="13">
                  <c:v>2211.4</c:v>
                </c:pt>
                <c:pt idx="14">
                  <c:v>2269.6</c:v>
                </c:pt>
                <c:pt idx="15">
                  <c:v>2216.96</c:v>
                </c:pt>
                <c:pt idx="16">
                  <c:v>2034.92</c:v>
                </c:pt>
                <c:pt idx="17">
                  <c:v>2165.16</c:v>
                </c:pt>
                <c:pt idx="18">
                  <c:v>2591.16</c:v>
                </c:pt>
                <c:pt idx="19">
                  <c:v>2666.52</c:v>
                </c:pt>
                <c:pt idx="20">
                  <c:v>2529.96</c:v>
                </c:pt>
                <c:pt idx="21">
                  <c:v>2446.1999999999998</c:v>
                </c:pt>
                <c:pt idx="22">
                  <c:v>2442.1999999999998</c:v>
                </c:pt>
                <c:pt idx="23">
                  <c:v>2404.08</c:v>
                </c:pt>
                <c:pt idx="24">
                  <c:v>2381.56</c:v>
                </c:pt>
                <c:pt idx="25">
                  <c:v>2347.64</c:v>
                </c:pt>
                <c:pt idx="26">
                  <c:v>2383.64</c:v>
                </c:pt>
                <c:pt idx="27">
                  <c:v>2432.84</c:v>
                </c:pt>
                <c:pt idx="28">
                  <c:v>2475.1999999999998</c:v>
                </c:pt>
                <c:pt idx="29">
                  <c:v>2478.7599999999998</c:v>
                </c:pt>
                <c:pt idx="30">
                  <c:v>2480.16</c:v>
                </c:pt>
              </c:numCache>
            </c:numRef>
          </c:val>
          <c:smooth val="0"/>
        </c:ser>
        <c:ser>
          <c:idx val="1"/>
          <c:order val="1"/>
          <c:tx>
            <c:v>Real</c:v>
          </c:tx>
          <c:marker>
            <c:symbol val="none"/>
          </c:marker>
          <c:cat>
            <c:numRef>
              <c:f>'[Lusaka_breakfast_meal_&amp;_wholesale_maize_grain_prices_for_AC 28Sep10_nm1.xlsx]data'!$A$12:$A$42</c:f>
              <c:numCache>
                <c:formatCode>0</c:formatCode>
                <c:ptCount val="31"/>
                <c:pt idx="0">
                  <c:v>2007</c:v>
                </c:pt>
                <c:pt idx="1">
                  <c:v>2007</c:v>
                </c:pt>
                <c:pt idx="2">
                  <c:v>2007</c:v>
                </c:pt>
                <c:pt idx="3">
                  <c:v>2008</c:v>
                </c:pt>
                <c:pt idx="4">
                  <c:v>2008</c:v>
                </c:pt>
                <c:pt idx="5">
                  <c:v>2008</c:v>
                </c:pt>
                <c:pt idx="6">
                  <c:v>2008</c:v>
                </c:pt>
                <c:pt idx="7">
                  <c:v>2008</c:v>
                </c:pt>
                <c:pt idx="8">
                  <c:v>2008</c:v>
                </c:pt>
                <c:pt idx="9">
                  <c:v>2008</c:v>
                </c:pt>
                <c:pt idx="10">
                  <c:v>2008</c:v>
                </c:pt>
                <c:pt idx="11">
                  <c:v>2008</c:v>
                </c:pt>
                <c:pt idx="12">
                  <c:v>2008</c:v>
                </c:pt>
                <c:pt idx="13">
                  <c:v>2008</c:v>
                </c:pt>
                <c:pt idx="14">
                  <c:v>2008</c:v>
                </c:pt>
                <c:pt idx="15">
                  <c:v>2009</c:v>
                </c:pt>
                <c:pt idx="16">
                  <c:v>2009</c:v>
                </c:pt>
                <c:pt idx="17">
                  <c:v>2009</c:v>
                </c:pt>
                <c:pt idx="18">
                  <c:v>2009</c:v>
                </c:pt>
                <c:pt idx="19">
                  <c:v>2009</c:v>
                </c:pt>
                <c:pt idx="20">
                  <c:v>2009</c:v>
                </c:pt>
                <c:pt idx="21">
                  <c:v>2009</c:v>
                </c:pt>
                <c:pt idx="22">
                  <c:v>2009</c:v>
                </c:pt>
                <c:pt idx="23">
                  <c:v>2009</c:v>
                </c:pt>
                <c:pt idx="24">
                  <c:v>2009</c:v>
                </c:pt>
                <c:pt idx="25">
                  <c:v>2009</c:v>
                </c:pt>
                <c:pt idx="26">
                  <c:v>2009</c:v>
                </c:pt>
                <c:pt idx="27">
                  <c:v>2010</c:v>
                </c:pt>
                <c:pt idx="28">
                  <c:v>2010</c:v>
                </c:pt>
                <c:pt idx="29">
                  <c:v>2010</c:v>
                </c:pt>
                <c:pt idx="30">
                  <c:v>2010</c:v>
                </c:pt>
              </c:numCache>
            </c:numRef>
          </c:cat>
          <c:val>
            <c:numRef>
              <c:f>'[Lusaka_breakfast_meal_&amp;_wholesale_maize_grain_prices_for_AC 28Sep10_nm1.xlsx]data'!$I$12:$I$42</c:f>
              <c:numCache>
                <c:formatCode>0</c:formatCode>
                <c:ptCount val="31"/>
                <c:pt idx="0">
                  <c:v>1410.1242339261278</c:v>
                </c:pt>
                <c:pt idx="1">
                  <c:v>1390.9455664326238</c:v>
                </c:pt>
                <c:pt idx="2">
                  <c:v>1373.2638362643206</c:v>
                </c:pt>
                <c:pt idx="3">
                  <c:v>1363.8705975521959</c:v>
                </c:pt>
                <c:pt idx="4">
                  <c:v>1391.9558356741584</c:v>
                </c:pt>
                <c:pt idx="5">
                  <c:v>1494.1461799456631</c:v>
                </c:pt>
                <c:pt idx="6">
                  <c:v>1537.6370791330651</c:v>
                </c:pt>
                <c:pt idx="7">
                  <c:v>1569.0851289128655</c:v>
                </c:pt>
                <c:pt idx="8">
                  <c:v>1644.8328601498176</c:v>
                </c:pt>
                <c:pt idx="9">
                  <c:v>1662.9005409222088</c:v>
                </c:pt>
                <c:pt idx="10">
                  <c:v>1706.8607819732035</c:v>
                </c:pt>
                <c:pt idx="11">
                  <c:v>1730.4110311880308</c:v>
                </c:pt>
                <c:pt idx="12">
                  <c:v>1797.06971260614</c:v>
                </c:pt>
                <c:pt idx="13">
                  <c:v>1875.702929813265</c:v>
                </c:pt>
                <c:pt idx="14">
                  <c:v>1879.4111669905133</c:v>
                </c:pt>
                <c:pt idx="15">
                  <c:v>1811.7989937958264</c:v>
                </c:pt>
                <c:pt idx="16">
                  <c:v>1651.8477350140058</c:v>
                </c:pt>
                <c:pt idx="17">
                  <c:v>1752.7586518799935</c:v>
                </c:pt>
                <c:pt idx="18">
                  <c:v>2070.0921106026362</c:v>
                </c:pt>
                <c:pt idx="19">
                  <c:v>2113.6328320568928</c:v>
                </c:pt>
                <c:pt idx="20">
                  <c:v>1983.7917587531801</c:v>
                </c:pt>
                <c:pt idx="21">
                  <c:v>1909.2284648532184</c:v>
                </c:pt>
                <c:pt idx="22">
                  <c:v>1884.8869420475114</c:v>
                </c:pt>
                <c:pt idx="23">
                  <c:v>1852.9984669397309</c:v>
                </c:pt>
                <c:pt idx="24">
                  <c:v>1825.0586529511327</c:v>
                </c:pt>
                <c:pt idx="25">
                  <c:v>1785.5606892026667</c:v>
                </c:pt>
                <c:pt idx="26">
                  <c:v>1795.5990480894193</c:v>
                </c:pt>
                <c:pt idx="27">
                  <c:v>1814.8292519563424</c:v>
                </c:pt>
                <c:pt idx="28">
                  <c:v>1830.5021793497681</c:v>
                </c:pt>
                <c:pt idx="29">
                  <c:v>1821.1445446709251</c:v>
                </c:pt>
                <c:pt idx="30">
                  <c:v>1814.0786653205464</c:v>
                </c:pt>
              </c:numCache>
            </c:numRef>
          </c:val>
          <c:smooth val="0"/>
        </c:ser>
        <c:dLbls>
          <c:showLegendKey val="0"/>
          <c:showVal val="0"/>
          <c:showCatName val="0"/>
          <c:showSerName val="0"/>
          <c:showPercent val="0"/>
          <c:showBubbleSize val="0"/>
        </c:dLbls>
        <c:marker val="1"/>
        <c:smooth val="0"/>
        <c:axId val="168567936"/>
        <c:axId val="168584320"/>
      </c:lineChart>
      <c:catAx>
        <c:axId val="168567936"/>
        <c:scaling>
          <c:orientation val="minMax"/>
        </c:scaling>
        <c:delete val="0"/>
        <c:axPos val="b"/>
        <c:numFmt formatCode="0" sourceLinked="1"/>
        <c:majorTickMark val="out"/>
        <c:minorTickMark val="none"/>
        <c:tickLblPos val="nextTo"/>
        <c:crossAx val="168584320"/>
        <c:crosses val="autoZero"/>
        <c:auto val="1"/>
        <c:lblAlgn val="ctr"/>
        <c:lblOffset val="100"/>
        <c:tickLblSkip val="10"/>
        <c:noMultiLvlLbl val="0"/>
      </c:catAx>
      <c:valAx>
        <c:axId val="168584320"/>
        <c:scaling>
          <c:orientation val="minMax"/>
        </c:scaling>
        <c:delete val="0"/>
        <c:axPos val="l"/>
        <c:majorGridlines/>
        <c:title>
          <c:tx>
            <c:rich>
              <a:bodyPr rot="-5400000" vert="horz"/>
              <a:lstStyle/>
              <a:p>
                <a:pPr>
                  <a:defRPr/>
                </a:pPr>
                <a:r>
                  <a:rPr lang="en-US"/>
                  <a:t>ZMK/kilogram</a:t>
                </a:r>
              </a:p>
            </c:rich>
          </c:tx>
          <c:overlay val="0"/>
        </c:title>
        <c:numFmt formatCode="0" sourceLinked="1"/>
        <c:majorTickMark val="out"/>
        <c:minorTickMark val="none"/>
        <c:tickLblPos val="nextTo"/>
        <c:crossAx val="16856793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B6FF-CCE2-4284-80F6-42A09BE3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768</Words>
  <Characters>4229</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McGlinchy</dc:creator>
  <cp:lastModifiedBy>Alejandra</cp:lastModifiedBy>
  <cp:revision>17</cp:revision>
  <cp:lastPrinted>2014-08-19T15:41:00Z</cp:lastPrinted>
  <dcterms:created xsi:type="dcterms:W3CDTF">2016-03-07T23:17:00Z</dcterms:created>
  <dcterms:modified xsi:type="dcterms:W3CDTF">2016-03-10T11:30:00Z</dcterms:modified>
</cp:coreProperties>
</file>