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82A" w:rsidRPr="006F6351" w:rsidRDefault="006F6351" w:rsidP="0014482A">
      <w:pPr>
        <w:jc w:val="center"/>
        <w:rPr>
          <w:rFonts w:cs="Helvetica"/>
          <w:b/>
          <w:sz w:val="22"/>
          <w:szCs w:val="22"/>
          <w:lang w:val="es-GT"/>
        </w:rPr>
      </w:pPr>
      <w:r w:rsidRPr="006F6351">
        <w:rPr>
          <w:rFonts w:cs="Helvetica"/>
          <w:b/>
          <w:sz w:val="22"/>
          <w:szCs w:val="22"/>
          <w:lang w:val="es-GT"/>
        </w:rPr>
        <w:t xml:space="preserve">HOJA DE TRABAJO </w:t>
      </w:r>
      <w:r w:rsidR="00146527" w:rsidRPr="006F6351">
        <w:rPr>
          <w:rFonts w:cs="Helvetica"/>
          <w:b/>
          <w:sz w:val="22"/>
          <w:szCs w:val="22"/>
          <w:lang w:val="es-GT"/>
        </w:rPr>
        <w:t>6</w:t>
      </w:r>
      <w:r w:rsidR="0073473D" w:rsidRPr="006F6351">
        <w:rPr>
          <w:rFonts w:cs="Helvetica"/>
          <w:b/>
          <w:sz w:val="22"/>
          <w:szCs w:val="22"/>
          <w:lang w:val="es-GT"/>
        </w:rPr>
        <w:t xml:space="preserve">: </w:t>
      </w:r>
      <w:r w:rsidR="00133D68">
        <w:rPr>
          <w:rFonts w:cs="Helvetica"/>
          <w:b/>
          <w:sz w:val="22"/>
          <w:szCs w:val="22"/>
          <w:lang w:val="es-GT"/>
        </w:rPr>
        <w:t>CONSTRUCCIÓ</w:t>
      </w:r>
      <w:r w:rsidRPr="006F6351">
        <w:rPr>
          <w:rFonts w:cs="Helvetica"/>
          <w:b/>
          <w:sz w:val="22"/>
          <w:szCs w:val="22"/>
          <w:lang w:val="es-GT"/>
        </w:rPr>
        <w:t xml:space="preserve">N DE UN MAPA </w:t>
      </w:r>
      <w:r w:rsidR="00133D68">
        <w:rPr>
          <w:rFonts w:cs="Helvetica"/>
          <w:b/>
          <w:sz w:val="22"/>
          <w:szCs w:val="22"/>
          <w:lang w:val="es-GT"/>
        </w:rPr>
        <w:t>DEL LUGAR DE PRODUCCIÓ</w:t>
      </w:r>
      <w:r>
        <w:rPr>
          <w:rFonts w:cs="Helvetica"/>
          <w:b/>
          <w:sz w:val="22"/>
          <w:szCs w:val="22"/>
          <w:lang w:val="es-GT"/>
        </w:rPr>
        <w:t>N DE ALIMENTOS</w:t>
      </w:r>
      <w:r w:rsidR="001C38B0" w:rsidRPr="006F6351">
        <w:rPr>
          <w:rStyle w:val="Refdenotaalpie"/>
          <w:rFonts w:cs="Helvetica"/>
          <w:b/>
          <w:sz w:val="22"/>
          <w:szCs w:val="22"/>
          <w:lang w:val="es-GT"/>
        </w:rPr>
        <w:footnoteReference w:id="1"/>
      </w:r>
    </w:p>
    <w:p w:rsidR="0014482A" w:rsidRPr="006F6351" w:rsidRDefault="0014482A" w:rsidP="0014482A">
      <w:pPr>
        <w:jc w:val="center"/>
        <w:rPr>
          <w:rFonts w:cs="Helvetica"/>
          <w:b/>
          <w:sz w:val="22"/>
          <w:szCs w:val="22"/>
          <w:lang w:val="es-GT"/>
        </w:rPr>
      </w:pPr>
    </w:p>
    <w:p w:rsidR="00AA3E53" w:rsidRPr="006F6351" w:rsidRDefault="006F6351" w:rsidP="00AA3E53">
      <w:pPr>
        <w:rPr>
          <w:sz w:val="22"/>
          <w:szCs w:val="22"/>
          <w:lang w:val="es-GT"/>
        </w:rPr>
      </w:pPr>
      <w:r w:rsidRPr="00151D19">
        <w:rPr>
          <w:b/>
          <w:sz w:val="22"/>
          <w:szCs w:val="22"/>
          <w:lang w:val="es-GT"/>
        </w:rPr>
        <w:t>Definición</w:t>
      </w:r>
      <w:r w:rsidR="00A72BC0">
        <w:rPr>
          <w:b/>
          <w:sz w:val="22"/>
          <w:szCs w:val="22"/>
          <w:lang w:val="es-GT"/>
        </w:rPr>
        <w:t xml:space="preserve">: </w:t>
      </w:r>
      <w:r w:rsidRPr="00151D19">
        <w:rPr>
          <w:sz w:val="22"/>
          <w:szCs w:val="22"/>
          <w:lang w:val="es-GT"/>
        </w:rPr>
        <w:t>Un mapa</w:t>
      </w:r>
      <w:r w:rsidRPr="00151D19">
        <w:rPr>
          <w:b/>
          <w:sz w:val="22"/>
          <w:szCs w:val="22"/>
          <w:lang w:val="es-GT"/>
        </w:rPr>
        <w:t xml:space="preserve"> </w:t>
      </w:r>
      <w:r w:rsidRPr="00151D19">
        <w:rPr>
          <w:sz w:val="22"/>
          <w:szCs w:val="22"/>
          <w:lang w:val="es-GT"/>
        </w:rPr>
        <w:t xml:space="preserve">del lugar </w:t>
      </w:r>
      <w:r w:rsidR="00151D19" w:rsidRPr="00151D19">
        <w:rPr>
          <w:sz w:val="22"/>
          <w:szCs w:val="22"/>
          <w:lang w:val="es-GT"/>
        </w:rPr>
        <w:t xml:space="preserve">de producción de los alimentos es </w:t>
      </w:r>
      <w:r w:rsidRPr="00151D19">
        <w:rPr>
          <w:sz w:val="22"/>
          <w:szCs w:val="22"/>
          <w:lang w:val="es-GT"/>
        </w:rPr>
        <w:t>un mapa local, regional o</w:t>
      </w:r>
      <w:r w:rsidR="0014482A" w:rsidRPr="00151D19">
        <w:rPr>
          <w:sz w:val="22"/>
          <w:szCs w:val="22"/>
          <w:lang w:val="es-GT"/>
        </w:rPr>
        <w:t xml:space="preserve"> na</w:t>
      </w:r>
      <w:r w:rsidRPr="00151D19">
        <w:rPr>
          <w:sz w:val="22"/>
          <w:szCs w:val="22"/>
          <w:lang w:val="es-GT"/>
        </w:rPr>
        <w:t>cional</w:t>
      </w:r>
      <w:r w:rsidR="00A72BC0">
        <w:rPr>
          <w:sz w:val="22"/>
          <w:szCs w:val="22"/>
          <w:lang w:val="es-GT"/>
        </w:rPr>
        <w:t>,</w:t>
      </w:r>
      <w:r w:rsidRPr="00151D19">
        <w:rPr>
          <w:sz w:val="22"/>
          <w:szCs w:val="22"/>
          <w:lang w:val="es-GT"/>
        </w:rPr>
        <w:t xml:space="preserve"> marcado con información recopilada durante las entrevistas con i</w:t>
      </w:r>
      <w:r>
        <w:rPr>
          <w:sz w:val="22"/>
          <w:szCs w:val="22"/>
          <w:lang w:val="es-GT"/>
        </w:rPr>
        <w:t xml:space="preserve">nformantes clave y discusiones </w:t>
      </w:r>
      <w:r w:rsidR="00C05211">
        <w:rPr>
          <w:sz w:val="22"/>
          <w:szCs w:val="22"/>
          <w:lang w:val="es-GT"/>
        </w:rPr>
        <w:t xml:space="preserve">en </w:t>
      </w:r>
      <w:r>
        <w:rPr>
          <w:sz w:val="22"/>
          <w:szCs w:val="22"/>
          <w:lang w:val="es-GT"/>
        </w:rPr>
        <w:t>grupos focales. Los mapas de mercado pueden ser brev</w:t>
      </w:r>
      <w:bookmarkStart w:id="0" w:name="_GoBack"/>
      <w:bookmarkEnd w:id="0"/>
      <w:r>
        <w:rPr>
          <w:sz w:val="22"/>
          <w:szCs w:val="22"/>
          <w:lang w:val="es-GT"/>
        </w:rPr>
        <w:t xml:space="preserve">es y sencillos; se pueden hacer sobre mapas existentes y son más útiles cuando se enfocan en temas de importancia local.  </w:t>
      </w:r>
    </w:p>
    <w:p w:rsidR="0014482A" w:rsidRPr="006F6351" w:rsidRDefault="0014482A" w:rsidP="0014482A">
      <w:pPr>
        <w:rPr>
          <w:sz w:val="22"/>
          <w:szCs w:val="22"/>
          <w:lang w:val="es-GT"/>
        </w:rPr>
      </w:pPr>
    </w:p>
    <w:p w:rsidR="00BE4531" w:rsidRPr="00A72BC0" w:rsidRDefault="006F6351" w:rsidP="00BE4531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Utilizando un mapa </w:t>
      </w:r>
      <w:r w:rsidR="0014482A" w:rsidRPr="006F6351">
        <w:rPr>
          <w:sz w:val="22"/>
          <w:szCs w:val="22"/>
          <w:lang w:val="es-GT"/>
        </w:rPr>
        <w:t>(</w:t>
      </w:r>
      <w:r>
        <w:rPr>
          <w:sz w:val="22"/>
          <w:szCs w:val="22"/>
          <w:lang w:val="es-GT"/>
        </w:rPr>
        <w:t>Por ejemplo, un mapa sencillo de la carretera</w:t>
      </w:r>
      <w:r w:rsidR="0014482A" w:rsidRPr="006F6351">
        <w:rPr>
          <w:sz w:val="22"/>
          <w:szCs w:val="22"/>
          <w:lang w:val="es-GT"/>
        </w:rPr>
        <w:t xml:space="preserve">) </w:t>
      </w:r>
      <w:r>
        <w:rPr>
          <w:sz w:val="22"/>
          <w:szCs w:val="22"/>
          <w:lang w:val="es-GT"/>
        </w:rPr>
        <w:t>de</w:t>
      </w:r>
      <w:r w:rsidR="00A72BC0">
        <w:rPr>
          <w:sz w:val="22"/>
          <w:szCs w:val="22"/>
          <w:lang w:val="es-GT"/>
        </w:rPr>
        <w:t>l país</w:t>
      </w:r>
      <w:r>
        <w:rPr>
          <w:sz w:val="22"/>
          <w:szCs w:val="22"/>
          <w:lang w:val="es-GT"/>
        </w:rPr>
        <w:t xml:space="preserve">, </w:t>
      </w:r>
      <w:r w:rsidR="00F13660" w:rsidRPr="0010619B">
        <w:rPr>
          <w:sz w:val="22"/>
          <w:szCs w:val="22"/>
          <w:lang w:val="es-GT"/>
        </w:rPr>
        <w:t xml:space="preserve">marque la </w:t>
      </w:r>
      <w:r w:rsidR="0010619B" w:rsidRPr="0010619B">
        <w:rPr>
          <w:sz w:val="22"/>
          <w:szCs w:val="22"/>
          <w:lang w:val="es-GT"/>
        </w:rPr>
        <w:t>información</w:t>
      </w:r>
      <w:r w:rsidR="0010619B">
        <w:rPr>
          <w:sz w:val="22"/>
          <w:szCs w:val="22"/>
          <w:lang w:val="es-GT"/>
        </w:rPr>
        <w:t xml:space="preserve"> recopilada de los comerciantes</w:t>
      </w:r>
      <w:r w:rsidR="00F13660">
        <w:rPr>
          <w:sz w:val="22"/>
          <w:szCs w:val="22"/>
          <w:lang w:val="es-GT"/>
        </w:rPr>
        <w:t xml:space="preserve">, cadena de suministro y </w:t>
      </w:r>
      <w:r w:rsidR="00F13660" w:rsidRPr="008B1C5A">
        <w:rPr>
          <w:sz w:val="22"/>
          <w:szCs w:val="22"/>
          <w:lang w:val="es-GT"/>
        </w:rPr>
        <w:t xml:space="preserve">análisis de </w:t>
      </w:r>
      <w:r w:rsidR="002E12D9" w:rsidRPr="008B1C5A">
        <w:rPr>
          <w:sz w:val="22"/>
          <w:szCs w:val="22"/>
          <w:lang w:val="es-GT"/>
        </w:rPr>
        <w:t xml:space="preserve">los márgenes comerciales y análisis de la </w:t>
      </w:r>
      <w:r w:rsidR="00EF3BDF" w:rsidRPr="008B1C5A">
        <w:rPr>
          <w:sz w:val="22"/>
          <w:szCs w:val="22"/>
          <w:lang w:val="es-GT"/>
        </w:rPr>
        <w:t>integración</w:t>
      </w:r>
      <w:r w:rsidR="002E12D9" w:rsidRPr="008B1C5A">
        <w:rPr>
          <w:sz w:val="22"/>
          <w:szCs w:val="22"/>
          <w:lang w:val="es-GT"/>
        </w:rPr>
        <w:t xml:space="preserve"> de mercado</w:t>
      </w:r>
      <w:r w:rsidR="0014482A" w:rsidRPr="008B1C5A">
        <w:rPr>
          <w:sz w:val="22"/>
          <w:szCs w:val="22"/>
          <w:lang w:val="es-GT"/>
        </w:rPr>
        <w:t>.</w:t>
      </w:r>
      <w:r w:rsidR="00AA3E53" w:rsidRPr="008B1C5A">
        <w:rPr>
          <w:rStyle w:val="Refdenotaalpie"/>
          <w:sz w:val="22"/>
          <w:szCs w:val="22"/>
          <w:lang w:val="es-GT"/>
        </w:rPr>
        <w:footnoteReference w:id="2"/>
      </w:r>
      <w:r w:rsidR="0014482A" w:rsidRPr="008B1C5A">
        <w:rPr>
          <w:sz w:val="22"/>
          <w:szCs w:val="22"/>
          <w:lang w:val="es-GT"/>
        </w:rPr>
        <w:t xml:space="preserve"> Identif</w:t>
      </w:r>
      <w:r w:rsidR="00A72BC0">
        <w:rPr>
          <w:sz w:val="22"/>
          <w:szCs w:val="22"/>
          <w:lang w:val="es-GT"/>
        </w:rPr>
        <w:t>ique</w:t>
      </w:r>
      <w:r w:rsidR="002E12D9" w:rsidRPr="008B1C5A">
        <w:rPr>
          <w:sz w:val="22"/>
          <w:szCs w:val="22"/>
          <w:lang w:val="es-GT"/>
        </w:rPr>
        <w:t xml:space="preserve"> </w:t>
      </w:r>
      <w:r w:rsidR="002E12D9" w:rsidRPr="00A72BC0">
        <w:rPr>
          <w:sz w:val="22"/>
          <w:szCs w:val="22"/>
          <w:lang w:val="es-GT"/>
        </w:rPr>
        <w:t xml:space="preserve">los </w:t>
      </w:r>
      <w:r w:rsidR="00540CAF" w:rsidRPr="00A72BC0">
        <w:rPr>
          <w:sz w:val="22"/>
          <w:szCs w:val="22"/>
          <w:lang w:val="es-GT"/>
        </w:rPr>
        <w:t>centros principales</w:t>
      </w:r>
      <w:r w:rsidR="0014482A" w:rsidRPr="00A72BC0">
        <w:rPr>
          <w:sz w:val="22"/>
          <w:szCs w:val="22"/>
          <w:lang w:val="es-GT"/>
        </w:rPr>
        <w:t xml:space="preserve"> </w:t>
      </w:r>
      <w:r w:rsidR="00F3382E" w:rsidRPr="00A72BC0">
        <w:rPr>
          <w:sz w:val="22"/>
          <w:szCs w:val="22"/>
          <w:lang w:val="es-GT"/>
        </w:rPr>
        <w:t xml:space="preserve">de comercio </w:t>
      </w:r>
      <w:r w:rsidR="002E12D9" w:rsidRPr="00A72BC0">
        <w:rPr>
          <w:sz w:val="22"/>
          <w:szCs w:val="22"/>
          <w:lang w:val="es-GT"/>
        </w:rPr>
        <w:t>e</w:t>
      </w:r>
      <w:r w:rsidR="00A72BC0" w:rsidRPr="00A72BC0">
        <w:rPr>
          <w:sz w:val="22"/>
          <w:szCs w:val="22"/>
          <w:lang w:val="es-GT"/>
        </w:rPr>
        <w:t xml:space="preserve"> incluya</w:t>
      </w:r>
      <w:r w:rsidR="002E12D9" w:rsidRPr="00A72BC0">
        <w:rPr>
          <w:sz w:val="22"/>
          <w:szCs w:val="22"/>
          <w:lang w:val="es-GT"/>
        </w:rPr>
        <w:t xml:space="preserve"> los números  </w:t>
      </w:r>
      <w:r w:rsidR="00C05211" w:rsidRPr="00A72BC0">
        <w:rPr>
          <w:sz w:val="22"/>
          <w:szCs w:val="22"/>
          <w:lang w:val="es-GT"/>
        </w:rPr>
        <w:t xml:space="preserve">estimados de </w:t>
      </w:r>
      <w:r w:rsidR="002E12D9" w:rsidRPr="00A72BC0">
        <w:rPr>
          <w:sz w:val="22"/>
          <w:szCs w:val="22"/>
          <w:lang w:val="es-GT"/>
        </w:rPr>
        <w:t xml:space="preserve">minoristas y mayoristas operando en varias localidades. A medida que la información esté disponible, </w:t>
      </w:r>
      <w:r w:rsidR="0014482A" w:rsidRPr="00A72BC0">
        <w:rPr>
          <w:sz w:val="22"/>
          <w:szCs w:val="22"/>
          <w:lang w:val="es-GT"/>
        </w:rPr>
        <w:t>identif</w:t>
      </w:r>
      <w:r w:rsidR="002E12D9" w:rsidRPr="00A72BC0">
        <w:rPr>
          <w:sz w:val="22"/>
          <w:szCs w:val="22"/>
          <w:lang w:val="es-GT"/>
        </w:rPr>
        <w:t xml:space="preserve">icar </w:t>
      </w:r>
      <w:r w:rsidR="0019323F" w:rsidRPr="00A72BC0">
        <w:rPr>
          <w:sz w:val="22"/>
          <w:szCs w:val="22"/>
          <w:lang w:val="es-GT"/>
        </w:rPr>
        <w:t>déficits en la oferta, daños a la infraestructura o ciertas rutas no</w:t>
      </w:r>
      <w:r w:rsidR="0014482A" w:rsidRPr="00A72BC0">
        <w:rPr>
          <w:sz w:val="22"/>
          <w:szCs w:val="22"/>
          <w:lang w:val="es-GT"/>
        </w:rPr>
        <w:t xml:space="preserve"> consider</w:t>
      </w:r>
      <w:r w:rsidR="0019323F" w:rsidRPr="00A72BC0">
        <w:rPr>
          <w:sz w:val="22"/>
          <w:szCs w:val="22"/>
          <w:lang w:val="es-GT"/>
        </w:rPr>
        <w:t xml:space="preserve">adas adecuadamente </w:t>
      </w:r>
      <w:r w:rsidR="00A72BC0" w:rsidRPr="00A72BC0">
        <w:rPr>
          <w:sz w:val="22"/>
          <w:szCs w:val="22"/>
          <w:lang w:val="es-GT"/>
        </w:rPr>
        <w:t xml:space="preserve">rentables </w:t>
      </w:r>
      <w:r w:rsidR="0019323F" w:rsidRPr="00A72BC0">
        <w:rPr>
          <w:sz w:val="22"/>
          <w:szCs w:val="22"/>
          <w:lang w:val="es-GT"/>
        </w:rPr>
        <w:t xml:space="preserve">por los </w:t>
      </w:r>
      <w:r w:rsidR="0043111F" w:rsidRPr="00A72BC0">
        <w:rPr>
          <w:sz w:val="22"/>
          <w:szCs w:val="22"/>
          <w:lang w:val="es-GT"/>
        </w:rPr>
        <w:t>comerciantes</w:t>
      </w:r>
      <w:r w:rsidR="0019323F" w:rsidRPr="00A72BC0">
        <w:rPr>
          <w:sz w:val="22"/>
          <w:szCs w:val="22"/>
          <w:lang w:val="es-GT"/>
        </w:rPr>
        <w:t xml:space="preserve">. </w:t>
      </w:r>
      <w:r w:rsidR="00BE4531" w:rsidRPr="00A72BC0">
        <w:rPr>
          <w:sz w:val="22"/>
          <w:szCs w:val="22"/>
          <w:lang w:val="es-GT"/>
        </w:rPr>
        <w:t>Adams y Harvey señalan que es posible que algunas áreas tengan pocos comerciantes o ni siquiera exista uno porque hay muchos factores que han impedido que ellos satisfagan sus necesidades básicas (</w:t>
      </w:r>
      <w:r w:rsidR="00BE4531" w:rsidRPr="00A72BC0">
        <w:rPr>
          <w:i/>
          <w:sz w:val="22"/>
          <w:szCs w:val="22"/>
          <w:lang w:val="es-GT"/>
        </w:rPr>
        <w:t>entitlement failures</w:t>
      </w:r>
      <w:r w:rsidR="00BE4531" w:rsidRPr="00A72BC0">
        <w:rPr>
          <w:sz w:val="22"/>
          <w:szCs w:val="22"/>
          <w:lang w:val="es-GT"/>
        </w:rPr>
        <w:t xml:space="preserve">) que han dañado su poder de adquisición local y los comerciantes no pueden operar </w:t>
      </w:r>
      <w:r w:rsidR="00A72BC0" w:rsidRPr="00A72BC0">
        <w:rPr>
          <w:sz w:val="22"/>
          <w:szCs w:val="22"/>
          <w:lang w:val="es-GT"/>
        </w:rPr>
        <w:t xml:space="preserve">y </w:t>
      </w:r>
      <w:r w:rsidR="00BE4531" w:rsidRPr="00A72BC0">
        <w:rPr>
          <w:sz w:val="22"/>
          <w:szCs w:val="22"/>
          <w:lang w:val="es-GT"/>
        </w:rPr>
        <w:t>gener</w:t>
      </w:r>
      <w:r w:rsidR="00A72BC0" w:rsidRPr="00A72BC0">
        <w:rPr>
          <w:sz w:val="22"/>
          <w:szCs w:val="22"/>
          <w:lang w:val="es-GT"/>
        </w:rPr>
        <w:t xml:space="preserve">ar </w:t>
      </w:r>
      <w:r w:rsidR="00BE4531" w:rsidRPr="00A72BC0">
        <w:rPr>
          <w:sz w:val="22"/>
          <w:szCs w:val="22"/>
          <w:lang w:val="es-GT"/>
        </w:rPr>
        <w:t xml:space="preserve">ganancias en esas áreas. </w:t>
      </w:r>
    </w:p>
    <w:p w:rsidR="00BE4531" w:rsidRPr="00A72BC0" w:rsidRDefault="00BE4531" w:rsidP="00BE4531">
      <w:pPr>
        <w:rPr>
          <w:sz w:val="22"/>
          <w:szCs w:val="22"/>
          <w:lang w:val="es-GT"/>
        </w:rPr>
      </w:pPr>
    </w:p>
    <w:p w:rsidR="0014482A" w:rsidRPr="006F6351" w:rsidRDefault="0043111F" w:rsidP="00F13660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Hacer un mapeo puede ayudar a identificar esas áreas y a alertar a los comerciantes sobre las inminentes distribuciones de alimentos les pueden dar incentivos para reanudar actividades comerciales en esas regiones. Una estrategia de mapeo adicional es dibujar líneas que conecten </w:t>
      </w:r>
      <w:r w:rsidR="00A72BC0">
        <w:rPr>
          <w:sz w:val="22"/>
          <w:szCs w:val="22"/>
          <w:lang w:val="es-GT"/>
        </w:rPr>
        <w:t xml:space="preserve">los </w:t>
      </w:r>
      <w:r>
        <w:rPr>
          <w:sz w:val="22"/>
          <w:szCs w:val="22"/>
          <w:lang w:val="es-GT"/>
        </w:rPr>
        <w:t xml:space="preserve">mercados </w:t>
      </w:r>
      <w:r w:rsidR="00A72BC0">
        <w:rPr>
          <w:sz w:val="22"/>
          <w:szCs w:val="22"/>
          <w:lang w:val="es-GT"/>
        </w:rPr>
        <w:t xml:space="preserve">de dos en dos </w:t>
      </w:r>
      <w:r>
        <w:rPr>
          <w:sz w:val="22"/>
          <w:szCs w:val="22"/>
          <w:lang w:val="es-GT"/>
        </w:rPr>
        <w:t>con precios fuertemente correlacionados para el mismo cultivo</w:t>
      </w:r>
      <w:r w:rsidR="0014482A" w:rsidRPr="006F6351">
        <w:rPr>
          <w:sz w:val="22"/>
          <w:szCs w:val="22"/>
          <w:lang w:val="es-GT"/>
        </w:rPr>
        <w:t>.</w:t>
      </w:r>
      <w:r w:rsidR="00AA3E53" w:rsidRPr="006F6351">
        <w:rPr>
          <w:rStyle w:val="Refdenotaalpie"/>
          <w:sz w:val="22"/>
          <w:szCs w:val="22"/>
          <w:lang w:val="es-GT"/>
        </w:rPr>
        <w:footnoteReference w:id="3"/>
      </w:r>
      <w:r w:rsidR="0073473D" w:rsidRPr="006F6351">
        <w:rPr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>Evalúe también si el</w:t>
      </w:r>
      <w:r w:rsidR="00A72BC0">
        <w:rPr>
          <w:sz w:val="22"/>
          <w:szCs w:val="22"/>
          <w:lang w:val="es-GT"/>
        </w:rPr>
        <w:t xml:space="preserve"> transporte de los productos desde</w:t>
      </w:r>
      <w:r>
        <w:rPr>
          <w:sz w:val="22"/>
          <w:szCs w:val="22"/>
          <w:lang w:val="es-GT"/>
        </w:rPr>
        <w:t xml:space="preserve"> </w:t>
      </w:r>
      <w:r w:rsidR="00A72BC0">
        <w:rPr>
          <w:sz w:val="22"/>
          <w:szCs w:val="22"/>
          <w:lang w:val="es-GT"/>
        </w:rPr>
        <w:t xml:space="preserve">el </w:t>
      </w:r>
      <w:r>
        <w:rPr>
          <w:sz w:val="22"/>
          <w:szCs w:val="22"/>
          <w:lang w:val="es-GT"/>
        </w:rPr>
        <w:t xml:space="preserve">mercado de origen al mercado de </w:t>
      </w:r>
      <w:r w:rsidR="00540CAF">
        <w:rPr>
          <w:sz w:val="22"/>
          <w:szCs w:val="22"/>
          <w:lang w:val="es-GT"/>
        </w:rPr>
        <w:t>destino enfrenta cualquier barrera a lo largo de la ru</w:t>
      </w:r>
      <w:r w:rsidR="0010619B">
        <w:rPr>
          <w:sz w:val="22"/>
          <w:szCs w:val="22"/>
          <w:lang w:val="es-GT"/>
        </w:rPr>
        <w:t>t</w:t>
      </w:r>
      <w:r w:rsidR="00540CAF">
        <w:rPr>
          <w:sz w:val="22"/>
          <w:szCs w:val="22"/>
          <w:lang w:val="es-GT"/>
        </w:rPr>
        <w:t xml:space="preserve">a </w:t>
      </w:r>
      <w:r w:rsidR="0014482A" w:rsidRPr="006F6351">
        <w:rPr>
          <w:sz w:val="22"/>
          <w:szCs w:val="22"/>
          <w:lang w:val="es-GT"/>
        </w:rPr>
        <w:t>(</w:t>
      </w:r>
      <w:r w:rsidR="00540CAF">
        <w:rPr>
          <w:sz w:val="22"/>
          <w:szCs w:val="22"/>
          <w:lang w:val="es-GT"/>
        </w:rPr>
        <w:t>Ej. restricciones para la exportación</w:t>
      </w:r>
      <w:r w:rsidR="0014482A" w:rsidRPr="006F6351">
        <w:rPr>
          <w:sz w:val="22"/>
          <w:szCs w:val="22"/>
          <w:lang w:val="es-GT"/>
        </w:rPr>
        <w:t xml:space="preserve">, </w:t>
      </w:r>
      <w:r w:rsidR="00540CAF">
        <w:rPr>
          <w:sz w:val="22"/>
          <w:szCs w:val="22"/>
          <w:lang w:val="es-GT"/>
        </w:rPr>
        <w:t xml:space="preserve">demoras en </w:t>
      </w:r>
      <w:r w:rsidR="00AC5AF8">
        <w:rPr>
          <w:sz w:val="22"/>
          <w:szCs w:val="22"/>
          <w:lang w:val="es-GT"/>
        </w:rPr>
        <w:t xml:space="preserve">aduanas, </w:t>
      </w:r>
      <w:r w:rsidR="0014482A" w:rsidRPr="006F6351">
        <w:rPr>
          <w:sz w:val="22"/>
          <w:szCs w:val="22"/>
          <w:lang w:val="es-GT"/>
        </w:rPr>
        <w:t>d</w:t>
      </w:r>
      <w:r w:rsidR="00AC5AF8">
        <w:rPr>
          <w:sz w:val="22"/>
          <w:szCs w:val="22"/>
          <w:lang w:val="es-GT"/>
        </w:rPr>
        <w:t>istracciones</w:t>
      </w:r>
      <w:r w:rsidR="0014482A" w:rsidRPr="006F6351">
        <w:rPr>
          <w:sz w:val="22"/>
          <w:szCs w:val="22"/>
          <w:lang w:val="es-GT"/>
        </w:rPr>
        <w:t>).</w:t>
      </w:r>
    </w:p>
    <w:p w:rsidR="00AC5AF8" w:rsidRDefault="00AC5AF8" w:rsidP="0014482A">
      <w:pPr>
        <w:rPr>
          <w:b/>
          <w:sz w:val="22"/>
          <w:szCs w:val="22"/>
          <w:lang w:val="es-GT"/>
        </w:rPr>
      </w:pPr>
    </w:p>
    <w:p w:rsidR="0073473D" w:rsidRDefault="00AC5AF8" w:rsidP="0014482A">
      <w:pPr>
        <w:rPr>
          <w:b/>
          <w:sz w:val="22"/>
          <w:szCs w:val="22"/>
          <w:lang w:val="es-GT"/>
        </w:rPr>
      </w:pPr>
      <w:r>
        <w:rPr>
          <w:b/>
          <w:sz w:val="22"/>
          <w:szCs w:val="22"/>
          <w:lang w:val="es-GT"/>
        </w:rPr>
        <w:t>Para generar un mapa de</w:t>
      </w:r>
      <w:r w:rsidR="00C05211">
        <w:rPr>
          <w:b/>
          <w:sz w:val="22"/>
          <w:szCs w:val="22"/>
          <w:lang w:val="es-GT"/>
        </w:rPr>
        <w:t xml:space="preserve">l lugar de </w:t>
      </w:r>
      <w:r>
        <w:rPr>
          <w:b/>
          <w:sz w:val="22"/>
          <w:szCs w:val="22"/>
          <w:lang w:val="es-GT"/>
        </w:rPr>
        <w:t>produc</w:t>
      </w:r>
      <w:r w:rsidR="00C05211">
        <w:rPr>
          <w:b/>
          <w:sz w:val="22"/>
          <w:szCs w:val="22"/>
          <w:lang w:val="es-GT"/>
        </w:rPr>
        <w:t xml:space="preserve">ción de </w:t>
      </w:r>
      <w:r>
        <w:rPr>
          <w:b/>
          <w:sz w:val="22"/>
          <w:szCs w:val="22"/>
          <w:lang w:val="es-GT"/>
        </w:rPr>
        <w:t>alimentos:</w:t>
      </w:r>
    </w:p>
    <w:p w:rsidR="008435F9" w:rsidRPr="006F6351" w:rsidRDefault="008435F9" w:rsidP="0014482A">
      <w:pPr>
        <w:rPr>
          <w:sz w:val="22"/>
          <w:szCs w:val="22"/>
          <w:lang w:val="es-GT"/>
        </w:rPr>
      </w:pPr>
    </w:p>
    <w:p w:rsidR="0014482A" w:rsidRPr="006F6351" w:rsidRDefault="00AC5AF8" w:rsidP="0014482A">
      <w:pPr>
        <w:pStyle w:val="Prrafodelista"/>
        <w:numPr>
          <w:ilvl w:val="0"/>
          <w:numId w:val="1"/>
        </w:num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Primero, encuentre un mapa con la resolución que usted busca o dibuje uno a mano.  </w:t>
      </w:r>
    </w:p>
    <w:p w:rsidR="0014482A" w:rsidRPr="006F6351" w:rsidRDefault="00C05211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El nivel de detalle</w:t>
      </w:r>
      <w:r w:rsidR="00AC5AF8">
        <w:rPr>
          <w:sz w:val="22"/>
          <w:szCs w:val="22"/>
          <w:lang w:val="es-GT"/>
        </w:rPr>
        <w:t xml:space="preserve"> dependerá del área geográfica que </w:t>
      </w:r>
      <w:r w:rsidR="00A72BC0">
        <w:rPr>
          <w:sz w:val="22"/>
          <w:szCs w:val="22"/>
          <w:lang w:val="es-GT"/>
        </w:rPr>
        <w:t xml:space="preserve">usted </w:t>
      </w:r>
      <w:r w:rsidR="00AC5AF8">
        <w:rPr>
          <w:sz w:val="22"/>
          <w:szCs w:val="22"/>
          <w:lang w:val="es-GT"/>
        </w:rPr>
        <w:t xml:space="preserve">quiere captar. Por ejemplo, un mapa de mercado de una comunidad se puede dibujar a mano.  </w:t>
      </w:r>
    </w:p>
    <w:p w:rsidR="0014482A" w:rsidRPr="00151D19" w:rsidRDefault="00AC5AF8" w:rsidP="0014482A">
      <w:pPr>
        <w:pStyle w:val="Prrafodelista"/>
        <w:numPr>
          <w:ilvl w:val="0"/>
          <w:numId w:val="1"/>
        </w:numPr>
        <w:rPr>
          <w:sz w:val="22"/>
          <w:szCs w:val="22"/>
          <w:lang w:val="es-GT"/>
        </w:rPr>
      </w:pPr>
      <w:r w:rsidRPr="00151D19">
        <w:rPr>
          <w:sz w:val="22"/>
          <w:szCs w:val="22"/>
          <w:lang w:val="es-GT"/>
        </w:rPr>
        <w:t xml:space="preserve">Evalúe si los efectos de estacionalidad climática afectan las rutas comerciales, mercados de origen, número de comerciantes operando, opciones del mercado para los hogares participantes.  </w:t>
      </w:r>
    </w:p>
    <w:p w:rsidR="0014482A" w:rsidRPr="006F6351" w:rsidRDefault="00AC5AF8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Si la respuesta es </w:t>
      </w:r>
      <w:r w:rsidR="00C05211">
        <w:rPr>
          <w:sz w:val="22"/>
          <w:szCs w:val="22"/>
          <w:lang w:val="es-GT"/>
        </w:rPr>
        <w:t>sí</w:t>
      </w:r>
      <w:r>
        <w:rPr>
          <w:sz w:val="22"/>
          <w:szCs w:val="22"/>
          <w:lang w:val="es-GT"/>
        </w:rPr>
        <w:t xml:space="preserve">, elabore mapas por </w:t>
      </w:r>
      <w:r w:rsidR="00A72BC0">
        <w:rPr>
          <w:sz w:val="22"/>
          <w:szCs w:val="22"/>
          <w:lang w:val="es-GT"/>
        </w:rPr>
        <w:t>temporadas</w:t>
      </w:r>
      <w:r w:rsidR="00C05211">
        <w:rPr>
          <w:sz w:val="22"/>
          <w:szCs w:val="22"/>
          <w:lang w:val="es-GT"/>
        </w:rPr>
        <w:t xml:space="preserve"> </w:t>
      </w:r>
      <w:r w:rsidR="00B812B8">
        <w:rPr>
          <w:sz w:val="22"/>
          <w:szCs w:val="22"/>
          <w:lang w:val="es-GT"/>
        </w:rPr>
        <w:t xml:space="preserve"> </w:t>
      </w:r>
    </w:p>
    <w:p w:rsidR="0014482A" w:rsidRPr="006F6351" w:rsidRDefault="00AC5AF8" w:rsidP="00B812B8">
      <w:pPr>
        <w:pStyle w:val="Prrafodelista"/>
        <w:numPr>
          <w:ilvl w:val="1"/>
          <w:numId w:val="1"/>
        </w:numPr>
        <w:ind w:left="1440" w:hanging="88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Es posible que regiones di</w:t>
      </w:r>
      <w:r w:rsidR="0014482A" w:rsidRPr="006F6351">
        <w:rPr>
          <w:sz w:val="22"/>
          <w:szCs w:val="22"/>
          <w:lang w:val="es-GT"/>
        </w:rPr>
        <w:t>ferent</w:t>
      </w:r>
      <w:r>
        <w:rPr>
          <w:sz w:val="22"/>
          <w:szCs w:val="22"/>
          <w:lang w:val="es-GT"/>
        </w:rPr>
        <w:t xml:space="preserve">es tengan </w:t>
      </w:r>
      <w:r w:rsidR="00A72BC0">
        <w:rPr>
          <w:sz w:val="22"/>
          <w:szCs w:val="22"/>
          <w:lang w:val="es-GT"/>
        </w:rPr>
        <w:t xml:space="preserve">temporadas </w:t>
      </w:r>
      <w:r>
        <w:rPr>
          <w:sz w:val="22"/>
          <w:szCs w:val="22"/>
          <w:lang w:val="es-GT"/>
        </w:rPr>
        <w:t xml:space="preserve">diferentes </w:t>
      </w:r>
      <w:r w:rsidR="0014482A" w:rsidRPr="006F6351">
        <w:rPr>
          <w:sz w:val="22"/>
          <w:szCs w:val="22"/>
          <w:lang w:val="es-GT"/>
        </w:rPr>
        <w:t>(</w:t>
      </w:r>
      <w:r w:rsidR="006575D7">
        <w:rPr>
          <w:sz w:val="22"/>
          <w:szCs w:val="22"/>
          <w:lang w:val="es-GT"/>
        </w:rPr>
        <w:t xml:space="preserve">Ej. Patrones </w:t>
      </w:r>
      <w:r w:rsidR="0014482A" w:rsidRPr="006F6351">
        <w:rPr>
          <w:sz w:val="22"/>
          <w:szCs w:val="22"/>
          <w:lang w:val="es-GT"/>
        </w:rPr>
        <w:t xml:space="preserve">unimodal </w:t>
      </w:r>
      <w:r w:rsidR="006575D7">
        <w:rPr>
          <w:sz w:val="22"/>
          <w:szCs w:val="22"/>
          <w:lang w:val="es-GT"/>
        </w:rPr>
        <w:t xml:space="preserve">y </w:t>
      </w:r>
      <w:r w:rsidR="0014482A" w:rsidRPr="006F6351">
        <w:rPr>
          <w:sz w:val="22"/>
          <w:szCs w:val="22"/>
          <w:lang w:val="es-GT"/>
        </w:rPr>
        <w:t>bimodal)</w:t>
      </w:r>
    </w:p>
    <w:p w:rsidR="0014482A" w:rsidRPr="00151D19" w:rsidRDefault="00F3382E" w:rsidP="0014482A">
      <w:pPr>
        <w:pStyle w:val="Prrafodelista"/>
        <w:numPr>
          <w:ilvl w:val="0"/>
          <w:numId w:val="1"/>
        </w:num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Luego, mapee los hallazgos de las conversacione</w:t>
      </w:r>
      <w:r w:rsidRPr="00151D19">
        <w:rPr>
          <w:sz w:val="22"/>
          <w:szCs w:val="22"/>
          <w:lang w:val="es-GT"/>
        </w:rPr>
        <w:t>s con los informantes clave con relación a</w:t>
      </w:r>
      <w:r w:rsidR="0014482A" w:rsidRPr="00151D19">
        <w:rPr>
          <w:sz w:val="22"/>
          <w:szCs w:val="22"/>
          <w:lang w:val="es-GT"/>
        </w:rPr>
        <w:t>:</w:t>
      </w:r>
    </w:p>
    <w:p w:rsidR="0014482A" w:rsidRPr="00151D19" w:rsidRDefault="00F3382E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 w:rsidRPr="00151D19">
        <w:rPr>
          <w:sz w:val="22"/>
          <w:szCs w:val="22"/>
          <w:lang w:val="es-GT"/>
        </w:rPr>
        <w:t xml:space="preserve">Los centros principales de comercio </w:t>
      </w:r>
      <w:r w:rsidR="0014482A" w:rsidRPr="00151D19">
        <w:rPr>
          <w:sz w:val="22"/>
          <w:szCs w:val="22"/>
          <w:lang w:val="es-GT"/>
        </w:rPr>
        <w:t>utiliz</w:t>
      </w:r>
      <w:r w:rsidRPr="00151D19">
        <w:rPr>
          <w:sz w:val="22"/>
          <w:szCs w:val="22"/>
          <w:lang w:val="es-GT"/>
        </w:rPr>
        <w:t xml:space="preserve">ados frecuentemente por las poblaciones con inseguridad alimentaria  </w:t>
      </w:r>
    </w:p>
    <w:p w:rsidR="0014482A" w:rsidRPr="00151D19" w:rsidRDefault="00F3382E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 w:rsidRPr="00151D19">
        <w:rPr>
          <w:sz w:val="22"/>
          <w:szCs w:val="22"/>
          <w:lang w:val="es-GT"/>
        </w:rPr>
        <w:t xml:space="preserve">Mercados más pequeños </w:t>
      </w:r>
      <w:r w:rsidR="00151D19" w:rsidRPr="00151D19">
        <w:rPr>
          <w:sz w:val="22"/>
          <w:szCs w:val="22"/>
          <w:lang w:val="es-GT"/>
        </w:rPr>
        <w:t xml:space="preserve">que </w:t>
      </w:r>
      <w:r w:rsidRPr="00151D19">
        <w:rPr>
          <w:sz w:val="22"/>
          <w:szCs w:val="22"/>
          <w:lang w:val="es-GT"/>
        </w:rPr>
        <w:t xml:space="preserve">también </w:t>
      </w:r>
      <w:r w:rsidR="00151D19" w:rsidRPr="00151D19">
        <w:rPr>
          <w:sz w:val="22"/>
          <w:szCs w:val="22"/>
          <w:lang w:val="es-GT"/>
        </w:rPr>
        <w:t xml:space="preserve">son </w:t>
      </w:r>
      <w:r w:rsidR="00C05211" w:rsidRPr="00151D19">
        <w:rPr>
          <w:sz w:val="22"/>
          <w:szCs w:val="22"/>
          <w:lang w:val="es-GT"/>
        </w:rPr>
        <w:t xml:space="preserve">utilizados </w:t>
      </w:r>
      <w:r w:rsidR="00151D19" w:rsidRPr="00151D19">
        <w:rPr>
          <w:sz w:val="22"/>
          <w:szCs w:val="22"/>
          <w:lang w:val="es-GT"/>
        </w:rPr>
        <w:t xml:space="preserve">por </w:t>
      </w:r>
      <w:r w:rsidRPr="00151D19">
        <w:rPr>
          <w:sz w:val="22"/>
          <w:szCs w:val="22"/>
          <w:lang w:val="es-GT"/>
        </w:rPr>
        <w:t xml:space="preserve">la misma población  </w:t>
      </w:r>
    </w:p>
    <w:p w:rsidR="0014482A" w:rsidRPr="00151D19" w:rsidRDefault="00F3382E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 w:rsidRPr="00151D19">
        <w:rPr>
          <w:sz w:val="22"/>
          <w:szCs w:val="22"/>
          <w:lang w:val="es-GT"/>
        </w:rPr>
        <w:t xml:space="preserve">Instalaciones </w:t>
      </w:r>
      <w:r w:rsidR="00ED6164" w:rsidRPr="00151D19">
        <w:rPr>
          <w:sz w:val="22"/>
          <w:szCs w:val="22"/>
          <w:lang w:val="es-GT"/>
        </w:rPr>
        <w:t xml:space="preserve">o centros </w:t>
      </w:r>
      <w:r w:rsidRPr="00151D19">
        <w:rPr>
          <w:sz w:val="22"/>
          <w:szCs w:val="22"/>
          <w:lang w:val="es-GT"/>
        </w:rPr>
        <w:t xml:space="preserve">de almacenaje </w:t>
      </w:r>
      <w:r w:rsidR="00ED6164" w:rsidRPr="00151D19">
        <w:rPr>
          <w:sz w:val="22"/>
          <w:szCs w:val="22"/>
          <w:lang w:val="es-GT"/>
        </w:rPr>
        <w:t xml:space="preserve"> </w:t>
      </w:r>
    </w:p>
    <w:p w:rsidR="0014482A" w:rsidRPr="006F6351" w:rsidRDefault="00ED6164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Mercados de abastecimiento principales utilizados por los mayoristas y minoristas en el lugar de producción de los alimentos  </w:t>
      </w:r>
    </w:p>
    <w:p w:rsidR="0014482A" w:rsidRPr="006F6351" w:rsidRDefault="00B812B8" w:rsidP="0014482A">
      <w:pPr>
        <w:pStyle w:val="Prrafodelista"/>
        <w:numPr>
          <w:ilvl w:val="2"/>
          <w:numId w:val="1"/>
        </w:num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Ya se pueden recopilar los </w:t>
      </w:r>
      <w:r w:rsidR="00ED6164">
        <w:rPr>
          <w:sz w:val="22"/>
          <w:szCs w:val="22"/>
          <w:lang w:val="es-GT"/>
        </w:rPr>
        <w:t xml:space="preserve">datos secundarios para los mercados más grandes que se vinculan </w:t>
      </w:r>
      <w:r>
        <w:rPr>
          <w:sz w:val="22"/>
          <w:szCs w:val="22"/>
          <w:lang w:val="es-GT"/>
        </w:rPr>
        <w:t xml:space="preserve">con </w:t>
      </w:r>
      <w:r w:rsidR="00ED6164">
        <w:rPr>
          <w:sz w:val="22"/>
          <w:szCs w:val="22"/>
          <w:lang w:val="es-GT"/>
        </w:rPr>
        <w:t xml:space="preserve">los lugares de producción de alimentos afectados  </w:t>
      </w:r>
    </w:p>
    <w:p w:rsidR="0014482A" w:rsidRPr="006F6351" w:rsidRDefault="00ED6164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lastRenderedPageBreak/>
        <w:t xml:space="preserve">Rutas y carreteras de mercado  </w:t>
      </w:r>
    </w:p>
    <w:p w:rsidR="0014482A" w:rsidRPr="006F6351" w:rsidRDefault="00ED6164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Cualquier daño </w:t>
      </w:r>
      <w:r w:rsidR="00B812B8">
        <w:rPr>
          <w:sz w:val="22"/>
          <w:szCs w:val="22"/>
          <w:lang w:val="es-GT"/>
        </w:rPr>
        <w:t xml:space="preserve">en la </w:t>
      </w:r>
      <w:r>
        <w:rPr>
          <w:sz w:val="22"/>
          <w:szCs w:val="22"/>
          <w:lang w:val="es-GT"/>
        </w:rPr>
        <w:t>infraestru</w:t>
      </w:r>
      <w:r w:rsidR="00B812B8">
        <w:rPr>
          <w:sz w:val="22"/>
          <w:szCs w:val="22"/>
          <w:lang w:val="es-GT"/>
        </w:rPr>
        <w:t>ctura</w:t>
      </w:r>
      <w:r>
        <w:rPr>
          <w:sz w:val="22"/>
          <w:szCs w:val="22"/>
          <w:lang w:val="es-GT"/>
        </w:rPr>
        <w:t xml:space="preserve"> </w:t>
      </w:r>
      <w:r w:rsidR="00B812B8">
        <w:rPr>
          <w:sz w:val="22"/>
          <w:szCs w:val="22"/>
          <w:lang w:val="es-GT"/>
        </w:rPr>
        <w:t xml:space="preserve">de </w:t>
      </w:r>
      <w:r>
        <w:rPr>
          <w:sz w:val="22"/>
          <w:szCs w:val="22"/>
          <w:lang w:val="es-GT"/>
        </w:rPr>
        <w:t xml:space="preserve">los mercados o a lo largo de la ruta principal.  </w:t>
      </w:r>
    </w:p>
    <w:p w:rsidR="0014482A" w:rsidRPr="006F6351" w:rsidRDefault="00ED6164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Precios de productos esenciales en cada uno de los mercados  </w:t>
      </w:r>
    </w:p>
    <w:p w:rsidR="0014482A" w:rsidRPr="006F6351" w:rsidRDefault="00ED6164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Número aproximado de los minoristas y mayoristas  </w:t>
      </w:r>
    </w:p>
    <w:p w:rsidR="0014482A" w:rsidRPr="006F6351" w:rsidRDefault="00ED6164" w:rsidP="0014482A">
      <w:pPr>
        <w:pStyle w:val="Prrafodelista"/>
        <w:numPr>
          <w:ilvl w:val="1"/>
          <w:numId w:val="1"/>
        </w:numPr>
        <w:ind w:left="90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A medida que los datos estén disponible</w:t>
      </w:r>
      <w:r w:rsidR="00C05211">
        <w:rPr>
          <w:sz w:val="22"/>
          <w:szCs w:val="22"/>
          <w:lang w:val="es-GT"/>
        </w:rPr>
        <w:t>s</w:t>
      </w:r>
      <w:r w:rsidR="0014482A" w:rsidRPr="006F6351">
        <w:rPr>
          <w:sz w:val="22"/>
          <w:szCs w:val="22"/>
          <w:lang w:val="es-GT"/>
        </w:rPr>
        <w:t xml:space="preserve">, </w:t>
      </w:r>
      <w:r>
        <w:rPr>
          <w:sz w:val="22"/>
          <w:szCs w:val="22"/>
          <w:lang w:val="es-GT"/>
        </w:rPr>
        <w:t>es posible incorporar cadenas de suministro</w:t>
      </w:r>
      <w:r w:rsidR="0014482A" w:rsidRPr="006F6351">
        <w:rPr>
          <w:sz w:val="22"/>
          <w:szCs w:val="22"/>
          <w:lang w:val="es-GT"/>
        </w:rPr>
        <w:t xml:space="preserve">, </w:t>
      </w:r>
      <w:r>
        <w:rPr>
          <w:sz w:val="22"/>
          <w:szCs w:val="22"/>
          <w:lang w:val="es-GT"/>
        </w:rPr>
        <w:t xml:space="preserve">políticas y prácticas e integración de mercado.  </w:t>
      </w:r>
    </w:p>
    <w:p w:rsidR="0014482A" w:rsidRPr="008435F9" w:rsidRDefault="008435F9" w:rsidP="0014482A">
      <w:pPr>
        <w:pStyle w:val="Prrafodelista"/>
        <w:numPr>
          <w:ilvl w:val="0"/>
          <w:numId w:val="1"/>
        </w:num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Con respecto a </w:t>
      </w:r>
      <w:r w:rsidR="00ED6164" w:rsidRPr="008435F9">
        <w:rPr>
          <w:sz w:val="22"/>
          <w:szCs w:val="22"/>
          <w:lang w:val="es-GT"/>
        </w:rPr>
        <w:t xml:space="preserve">los mercados de origen para la compra local y regional, también considere lo siguiente:  </w:t>
      </w:r>
    </w:p>
    <w:p w:rsidR="0014482A" w:rsidRPr="006F6351" w:rsidRDefault="00ED6164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>Estimados de p</w:t>
      </w:r>
      <w:r w:rsidR="0014482A" w:rsidRPr="006F6351">
        <w:rPr>
          <w:sz w:val="22"/>
          <w:szCs w:val="22"/>
          <w:lang w:val="es-GT"/>
        </w:rPr>
        <w:t>roduc</w:t>
      </w:r>
      <w:r>
        <w:rPr>
          <w:sz w:val="22"/>
          <w:szCs w:val="22"/>
          <w:lang w:val="es-GT"/>
        </w:rPr>
        <w:t xml:space="preserve">ción y existencias de alimentos </w:t>
      </w:r>
      <w:r w:rsidR="0014482A" w:rsidRPr="006F6351">
        <w:rPr>
          <w:sz w:val="22"/>
          <w:szCs w:val="22"/>
          <w:lang w:val="es-GT"/>
        </w:rPr>
        <w:t xml:space="preserve">(FAO /GIEWS; </w:t>
      </w:r>
      <w:r>
        <w:rPr>
          <w:sz w:val="22"/>
          <w:szCs w:val="22"/>
          <w:lang w:val="es-GT"/>
        </w:rPr>
        <w:t>hojas de balance de alimentos</w:t>
      </w:r>
      <w:r w:rsidR="0014482A" w:rsidRPr="006F6351">
        <w:rPr>
          <w:sz w:val="22"/>
          <w:szCs w:val="22"/>
          <w:lang w:val="es-GT"/>
        </w:rPr>
        <w:t xml:space="preserve">). </w:t>
      </w:r>
    </w:p>
    <w:p w:rsidR="0014482A" w:rsidRDefault="00ED6164" w:rsidP="0014482A">
      <w:pPr>
        <w:pStyle w:val="Prrafodelista"/>
        <w:numPr>
          <w:ilvl w:val="1"/>
          <w:numId w:val="1"/>
        </w:numPr>
        <w:ind w:left="920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Rutas propensas a </w:t>
      </w:r>
      <w:r w:rsidR="000436D3">
        <w:rPr>
          <w:sz w:val="22"/>
          <w:szCs w:val="22"/>
          <w:lang w:val="es-GT"/>
        </w:rPr>
        <w:t>interrupciones, por ejemplo, debido a una inundación</w:t>
      </w:r>
      <w:r w:rsidR="0014482A" w:rsidRPr="006F6351">
        <w:rPr>
          <w:sz w:val="22"/>
          <w:szCs w:val="22"/>
          <w:lang w:val="es-GT"/>
        </w:rPr>
        <w:t>, conflict</w:t>
      </w:r>
      <w:r w:rsidR="000436D3">
        <w:rPr>
          <w:sz w:val="22"/>
          <w:szCs w:val="22"/>
          <w:lang w:val="es-GT"/>
        </w:rPr>
        <w:t>o</w:t>
      </w:r>
      <w:r w:rsidR="00B812B8">
        <w:rPr>
          <w:sz w:val="22"/>
          <w:szCs w:val="22"/>
          <w:lang w:val="es-GT"/>
        </w:rPr>
        <w:t xml:space="preserve"> y</w:t>
      </w:r>
      <w:r w:rsidR="0014482A" w:rsidRPr="006F6351">
        <w:rPr>
          <w:sz w:val="22"/>
          <w:szCs w:val="22"/>
          <w:lang w:val="es-GT"/>
        </w:rPr>
        <w:t xml:space="preserve"> </w:t>
      </w:r>
      <w:r w:rsidR="000436D3">
        <w:rPr>
          <w:sz w:val="22"/>
          <w:szCs w:val="22"/>
          <w:lang w:val="es-GT"/>
        </w:rPr>
        <w:t xml:space="preserve">demoras en aduanas.  </w:t>
      </w:r>
    </w:p>
    <w:p w:rsidR="000436D3" w:rsidRPr="006F6351" w:rsidRDefault="000436D3" w:rsidP="000436D3">
      <w:pPr>
        <w:pStyle w:val="Prrafodelista"/>
        <w:ind w:left="920"/>
        <w:rPr>
          <w:sz w:val="22"/>
          <w:szCs w:val="22"/>
          <w:lang w:val="es-GT"/>
        </w:rPr>
      </w:pPr>
    </w:p>
    <w:p w:rsidR="0014482A" w:rsidRPr="006F6351" w:rsidRDefault="0014482A" w:rsidP="0014482A">
      <w:pPr>
        <w:rPr>
          <w:b/>
          <w:sz w:val="22"/>
          <w:szCs w:val="22"/>
          <w:lang w:val="es-GT"/>
        </w:rPr>
      </w:pPr>
      <w:r w:rsidRPr="006F6351">
        <w:rPr>
          <w:b/>
          <w:sz w:val="22"/>
          <w:szCs w:val="22"/>
          <w:lang w:val="es-GT"/>
        </w:rPr>
        <w:t>Limita</w:t>
      </w:r>
      <w:r w:rsidR="000436D3">
        <w:rPr>
          <w:b/>
          <w:sz w:val="22"/>
          <w:szCs w:val="22"/>
          <w:lang w:val="es-GT"/>
        </w:rPr>
        <w:t xml:space="preserve">ciones de mapeo de mercado  </w:t>
      </w:r>
    </w:p>
    <w:p w:rsidR="0014482A" w:rsidRPr="006F6351" w:rsidRDefault="000436D3" w:rsidP="00144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mbria"/>
          <w:sz w:val="22"/>
          <w:szCs w:val="22"/>
          <w:lang w:val="es-GT"/>
        </w:rPr>
      </w:pPr>
      <w:r>
        <w:rPr>
          <w:rFonts w:cs="Cambria"/>
          <w:sz w:val="22"/>
          <w:szCs w:val="22"/>
          <w:lang w:val="es-GT"/>
        </w:rPr>
        <w:t xml:space="preserve">Un rápido mapeo de mercados enfocándose en atributos clave puede identificar los mercados con mayor riesgo de pobre funcionamiento </w:t>
      </w:r>
      <w:r w:rsidR="0014482A" w:rsidRPr="006F6351">
        <w:rPr>
          <w:rFonts w:cs="Cambria"/>
          <w:sz w:val="22"/>
          <w:szCs w:val="22"/>
          <w:lang w:val="es-GT"/>
        </w:rPr>
        <w:t>(</w:t>
      </w:r>
      <w:r>
        <w:rPr>
          <w:rFonts w:cs="Cambria"/>
          <w:sz w:val="22"/>
          <w:szCs w:val="22"/>
          <w:lang w:val="es-GT"/>
        </w:rPr>
        <w:t>Ejemplo, regiones aisladas con meno</w:t>
      </w:r>
      <w:r w:rsidR="00B812B8">
        <w:rPr>
          <w:rFonts w:cs="Cambria"/>
          <w:sz w:val="22"/>
          <w:szCs w:val="22"/>
          <w:lang w:val="es-GT"/>
        </w:rPr>
        <w:t xml:space="preserve">s </w:t>
      </w:r>
      <w:r>
        <w:rPr>
          <w:rFonts w:cs="Cambria"/>
          <w:sz w:val="22"/>
          <w:szCs w:val="22"/>
          <w:lang w:val="es-GT"/>
        </w:rPr>
        <w:t xml:space="preserve">carreteras y con vínculos limitados a los mercados excedentarios importantes o mercados de </w:t>
      </w:r>
      <w:r w:rsidR="00E77623">
        <w:rPr>
          <w:rFonts w:cs="Cambria"/>
          <w:sz w:val="22"/>
          <w:szCs w:val="22"/>
          <w:lang w:val="es-GT"/>
        </w:rPr>
        <w:t>importación</w:t>
      </w:r>
      <w:r w:rsidR="0014482A" w:rsidRPr="006F6351">
        <w:rPr>
          <w:rFonts w:cs="Cambria"/>
          <w:sz w:val="22"/>
          <w:szCs w:val="22"/>
          <w:lang w:val="es-GT"/>
        </w:rPr>
        <w:t xml:space="preserve">). </w:t>
      </w:r>
      <w:r>
        <w:rPr>
          <w:rFonts w:cs="Cambria"/>
          <w:sz w:val="22"/>
          <w:szCs w:val="22"/>
          <w:lang w:val="es-GT"/>
        </w:rPr>
        <w:t xml:space="preserve">Sin embargo, si una respuesta estará geográficamente dispersa, </w:t>
      </w:r>
      <w:r w:rsidR="00B812B8">
        <w:rPr>
          <w:rFonts w:cs="Cambria"/>
          <w:sz w:val="22"/>
          <w:szCs w:val="22"/>
          <w:lang w:val="es-GT"/>
        </w:rPr>
        <w:t xml:space="preserve">es posible que no sea factible hacer </w:t>
      </w:r>
      <w:r>
        <w:rPr>
          <w:rFonts w:cs="Cambria"/>
          <w:sz w:val="22"/>
          <w:szCs w:val="22"/>
          <w:lang w:val="es-GT"/>
        </w:rPr>
        <w:t xml:space="preserve">un mapeo detallado de todos los mercados.  </w:t>
      </w:r>
    </w:p>
    <w:p w:rsidR="0014482A" w:rsidRPr="006F6351" w:rsidRDefault="0014482A" w:rsidP="00144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mbria"/>
          <w:sz w:val="22"/>
          <w:szCs w:val="22"/>
          <w:lang w:val="es-GT"/>
        </w:rPr>
      </w:pPr>
    </w:p>
    <w:p w:rsidR="0014482A" w:rsidRPr="006F6351" w:rsidRDefault="000436D3" w:rsidP="00144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mbria"/>
          <w:sz w:val="22"/>
          <w:szCs w:val="22"/>
          <w:lang w:val="es-GT"/>
        </w:rPr>
      </w:pPr>
      <w:r>
        <w:rPr>
          <w:rFonts w:cs="Cambria"/>
          <w:sz w:val="22"/>
          <w:szCs w:val="22"/>
          <w:lang w:val="es-GT"/>
        </w:rPr>
        <w:t xml:space="preserve">En los </w:t>
      </w:r>
      <w:r w:rsidR="00E77623">
        <w:rPr>
          <w:rFonts w:cs="Cambria"/>
          <w:sz w:val="22"/>
          <w:szCs w:val="22"/>
          <w:lang w:val="es-GT"/>
        </w:rPr>
        <w:t>casos</w:t>
      </w:r>
      <w:r>
        <w:rPr>
          <w:rFonts w:cs="Cambria"/>
          <w:sz w:val="22"/>
          <w:szCs w:val="22"/>
          <w:lang w:val="es-GT"/>
        </w:rPr>
        <w:t xml:space="preserve"> donde la infraestructura ha </w:t>
      </w:r>
      <w:r w:rsidR="00B812B8">
        <w:rPr>
          <w:rFonts w:cs="Cambria"/>
          <w:sz w:val="22"/>
          <w:szCs w:val="22"/>
          <w:lang w:val="es-GT"/>
        </w:rPr>
        <w:t xml:space="preserve">sido </w:t>
      </w:r>
      <w:r>
        <w:rPr>
          <w:rFonts w:cs="Cambria"/>
          <w:sz w:val="22"/>
          <w:szCs w:val="22"/>
          <w:lang w:val="es-GT"/>
        </w:rPr>
        <w:t>dañada o las rutas o mercados están bloqueados</w:t>
      </w:r>
      <w:r w:rsidR="0014482A" w:rsidRPr="006F6351">
        <w:rPr>
          <w:rFonts w:cs="Cambria"/>
          <w:sz w:val="22"/>
          <w:szCs w:val="22"/>
          <w:lang w:val="es-GT"/>
        </w:rPr>
        <w:t xml:space="preserve">, </w:t>
      </w:r>
      <w:r>
        <w:rPr>
          <w:rFonts w:cs="Cambria"/>
          <w:sz w:val="22"/>
          <w:szCs w:val="22"/>
          <w:lang w:val="es-GT"/>
        </w:rPr>
        <w:t xml:space="preserve">el </w:t>
      </w:r>
      <w:r w:rsidRPr="008435F9">
        <w:rPr>
          <w:rFonts w:cs="Cambria"/>
          <w:sz w:val="22"/>
          <w:szCs w:val="22"/>
          <w:lang w:val="es-GT"/>
        </w:rPr>
        <w:t>mapeo de mercado es una forma rápida de evaluar la existencia de rutas alternas</w:t>
      </w:r>
      <w:r w:rsidR="00C05211" w:rsidRPr="008435F9">
        <w:rPr>
          <w:rFonts w:cs="Cambria"/>
          <w:sz w:val="22"/>
          <w:szCs w:val="22"/>
          <w:lang w:val="es-GT"/>
        </w:rPr>
        <w:t xml:space="preserve"> </w:t>
      </w:r>
      <w:r w:rsidR="008435F9" w:rsidRPr="008435F9">
        <w:rPr>
          <w:rFonts w:cs="Cambria"/>
          <w:sz w:val="22"/>
          <w:szCs w:val="22"/>
          <w:lang w:val="es-GT"/>
        </w:rPr>
        <w:t xml:space="preserve">y </w:t>
      </w:r>
      <w:r w:rsidRPr="008435F9">
        <w:rPr>
          <w:rFonts w:cs="Cambria"/>
          <w:sz w:val="22"/>
          <w:szCs w:val="22"/>
          <w:lang w:val="es-GT"/>
        </w:rPr>
        <w:t xml:space="preserve">mercados </w:t>
      </w:r>
      <w:r w:rsidR="00B812B8">
        <w:rPr>
          <w:rFonts w:cs="Cambria"/>
          <w:sz w:val="22"/>
          <w:szCs w:val="22"/>
          <w:lang w:val="es-GT"/>
        </w:rPr>
        <w:t>alternos</w:t>
      </w:r>
      <w:r w:rsidR="008435F9" w:rsidRPr="008435F9">
        <w:rPr>
          <w:rFonts w:cs="Cambria"/>
          <w:sz w:val="22"/>
          <w:szCs w:val="22"/>
          <w:lang w:val="es-GT"/>
        </w:rPr>
        <w:t xml:space="preserve"> </w:t>
      </w:r>
      <w:r w:rsidRPr="008435F9">
        <w:rPr>
          <w:rFonts w:cs="Cambria"/>
          <w:sz w:val="22"/>
          <w:szCs w:val="22"/>
          <w:lang w:val="es-GT"/>
        </w:rPr>
        <w:t>secundarios. Mapear el mercado puede proveer información básica pero limitada sobre el contexto</w:t>
      </w:r>
      <w:r w:rsidR="0014482A" w:rsidRPr="008435F9">
        <w:rPr>
          <w:rFonts w:cs="Cambria"/>
          <w:sz w:val="22"/>
          <w:szCs w:val="22"/>
          <w:lang w:val="es-GT"/>
        </w:rPr>
        <w:t>,</w:t>
      </w:r>
      <w:r w:rsidR="0014482A" w:rsidRPr="006F6351">
        <w:rPr>
          <w:rFonts w:cs="Cambria"/>
          <w:sz w:val="22"/>
          <w:szCs w:val="22"/>
          <w:lang w:val="es-GT"/>
        </w:rPr>
        <w:t xml:space="preserve"> </w:t>
      </w:r>
      <w:r>
        <w:rPr>
          <w:rFonts w:cs="Cambria"/>
          <w:sz w:val="22"/>
          <w:szCs w:val="22"/>
          <w:lang w:val="es-GT"/>
        </w:rPr>
        <w:t xml:space="preserve">especialmente en las regiones con inseguridad alimentaria crónica.  </w:t>
      </w:r>
    </w:p>
    <w:p w:rsidR="0014482A" w:rsidRPr="006F6351" w:rsidRDefault="0014482A" w:rsidP="00144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mbria"/>
          <w:sz w:val="22"/>
          <w:szCs w:val="22"/>
          <w:lang w:val="es-GT"/>
        </w:rPr>
      </w:pPr>
    </w:p>
    <w:p w:rsidR="0014482A" w:rsidRPr="006F6351" w:rsidRDefault="000436D3" w:rsidP="00144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mbria"/>
          <w:sz w:val="22"/>
          <w:szCs w:val="22"/>
          <w:lang w:val="es-GT"/>
        </w:rPr>
      </w:pPr>
      <w:r>
        <w:rPr>
          <w:rFonts w:cs="Cambria"/>
          <w:sz w:val="22"/>
          <w:szCs w:val="22"/>
          <w:lang w:val="es-GT"/>
        </w:rPr>
        <w:t xml:space="preserve">Si los precios han cambiado dentro de una zona de distribución o de compra, el mapeo de mercado puede identificar </w:t>
      </w:r>
      <w:r w:rsidR="00E77623">
        <w:rPr>
          <w:rFonts w:cs="Cambria"/>
          <w:sz w:val="22"/>
          <w:szCs w:val="22"/>
          <w:lang w:val="es-GT"/>
        </w:rPr>
        <w:t xml:space="preserve">útilmente </w:t>
      </w:r>
      <w:r w:rsidR="0014482A" w:rsidRPr="006F6351">
        <w:rPr>
          <w:rFonts w:cs="Cambria"/>
          <w:sz w:val="22"/>
          <w:szCs w:val="22"/>
          <w:lang w:val="es-GT"/>
        </w:rPr>
        <w:t>(o</w:t>
      </w:r>
      <w:r w:rsidR="00E77623">
        <w:rPr>
          <w:rFonts w:cs="Cambria"/>
          <w:sz w:val="22"/>
          <w:szCs w:val="22"/>
          <w:lang w:val="es-GT"/>
        </w:rPr>
        <w:t xml:space="preserve"> descartar</w:t>
      </w:r>
      <w:r w:rsidR="0014482A" w:rsidRPr="006F6351">
        <w:rPr>
          <w:rFonts w:cs="Cambria"/>
          <w:sz w:val="22"/>
          <w:szCs w:val="22"/>
          <w:lang w:val="es-GT"/>
        </w:rPr>
        <w:t xml:space="preserve">) </w:t>
      </w:r>
      <w:r w:rsidR="00E77623">
        <w:rPr>
          <w:rFonts w:cs="Cambria"/>
          <w:sz w:val="22"/>
          <w:szCs w:val="22"/>
          <w:lang w:val="es-GT"/>
        </w:rPr>
        <w:t xml:space="preserve">cualquier factor específico de mercado que pueda estar causando cambios en los precios </w:t>
      </w:r>
      <w:r w:rsidR="0014482A" w:rsidRPr="006F6351">
        <w:rPr>
          <w:rFonts w:cs="Cambria"/>
          <w:sz w:val="22"/>
          <w:szCs w:val="22"/>
          <w:lang w:val="es-GT"/>
        </w:rPr>
        <w:t>(</w:t>
      </w:r>
      <w:r w:rsidR="00E77623">
        <w:rPr>
          <w:rFonts w:cs="Cambria"/>
          <w:sz w:val="22"/>
          <w:szCs w:val="22"/>
          <w:lang w:val="es-GT"/>
        </w:rPr>
        <w:t>Ejemplo, daños en la infraestructura</w:t>
      </w:r>
      <w:r w:rsidR="0014482A" w:rsidRPr="006F6351">
        <w:rPr>
          <w:rFonts w:cs="Cambria"/>
          <w:sz w:val="22"/>
          <w:szCs w:val="22"/>
          <w:lang w:val="es-GT"/>
        </w:rPr>
        <w:t xml:space="preserve">, </w:t>
      </w:r>
      <w:r w:rsidR="00E77623">
        <w:rPr>
          <w:rFonts w:cs="Cambria"/>
          <w:sz w:val="22"/>
          <w:szCs w:val="22"/>
          <w:lang w:val="es-GT"/>
        </w:rPr>
        <w:t>fragmentación en las cadenas de suministro, emigración de comerciantes, fallas de producción localizadas</w:t>
      </w:r>
      <w:r w:rsidR="00F87FF9">
        <w:rPr>
          <w:rFonts w:cs="Cambria"/>
          <w:sz w:val="22"/>
          <w:szCs w:val="22"/>
          <w:lang w:val="es-GT"/>
        </w:rPr>
        <w:t xml:space="preserve">, mayor dependencia </w:t>
      </w:r>
      <w:r w:rsidR="00B812B8">
        <w:rPr>
          <w:rFonts w:cs="Cambria"/>
          <w:sz w:val="22"/>
          <w:szCs w:val="22"/>
          <w:lang w:val="es-GT"/>
        </w:rPr>
        <w:t xml:space="preserve">de los </w:t>
      </w:r>
      <w:r w:rsidR="00F87FF9">
        <w:rPr>
          <w:rFonts w:cs="Cambria"/>
          <w:sz w:val="22"/>
          <w:szCs w:val="22"/>
          <w:lang w:val="es-GT"/>
        </w:rPr>
        <w:t xml:space="preserve">mercados por </w:t>
      </w:r>
      <w:r w:rsidR="00B812B8">
        <w:rPr>
          <w:rFonts w:cs="Cambria"/>
          <w:sz w:val="22"/>
          <w:szCs w:val="22"/>
          <w:lang w:val="es-GT"/>
        </w:rPr>
        <w:t xml:space="preserve">parte de los </w:t>
      </w:r>
      <w:r w:rsidR="00F87FF9">
        <w:rPr>
          <w:rFonts w:cs="Cambria"/>
          <w:sz w:val="22"/>
          <w:szCs w:val="22"/>
          <w:lang w:val="es-GT"/>
        </w:rPr>
        <w:t>hogares dentro del l</w:t>
      </w:r>
      <w:r w:rsidR="00B812B8">
        <w:rPr>
          <w:rFonts w:cs="Cambria"/>
          <w:sz w:val="22"/>
          <w:szCs w:val="22"/>
          <w:lang w:val="es-GT"/>
        </w:rPr>
        <w:t>ugar de producción de alimentos y</w:t>
      </w:r>
      <w:r w:rsidR="00F87FF9">
        <w:rPr>
          <w:rFonts w:cs="Cambria"/>
          <w:sz w:val="22"/>
          <w:szCs w:val="22"/>
          <w:lang w:val="es-GT"/>
        </w:rPr>
        <w:t xml:space="preserve"> amenazas a la seguridad local</w:t>
      </w:r>
      <w:r w:rsidR="0014482A" w:rsidRPr="006F6351">
        <w:rPr>
          <w:rFonts w:cs="Cambria"/>
          <w:sz w:val="22"/>
          <w:szCs w:val="22"/>
          <w:lang w:val="es-GT"/>
        </w:rPr>
        <w:t>).</w:t>
      </w:r>
    </w:p>
    <w:p w:rsidR="0014482A" w:rsidRPr="006F6351" w:rsidRDefault="0014482A" w:rsidP="0014482A">
      <w:pPr>
        <w:rPr>
          <w:sz w:val="22"/>
          <w:szCs w:val="22"/>
          <w:lang w:val="es-GT"/>
        </w:rPr>
      </w:pPr>
    </w:p>
    <w:p w:rsidR="0014482A" w:rsidRPr="006F6351" w:rsidRDefault="00F87FF9" w:rsidP="0014482A">
      <w:pPr>
        <w:rPr>
          <w:sz w:val="22"/>
          <w:szCs w:val="22"/>
          <w:lang w:val="es-GT"/>
        </w:rPr>
      </w:pPr>
      <w:r>
        <w:rPr>
          <w:b/>
          <w:sz w:val="22"/>
          <w:szCs w:val="22"/>
          <w:lang w:val="es-GT"/>
        </w:rPr>
        <w:t xml:space="preserve">Fuentes de </w:t>
      </w:r>
      <w:r w:rsidR="001B1C6F" w:rsidRPr="006F6351">
        <w:rPr>
          <w:b/>
          <w:sz w:val="22"/>
          <w:szCs w:val="22"/>
          <w:lang w:val="es-GT"/>
        </w:rPr>
        <w:t>informa</w:t>
      </w:r>
      <w:r>
        <w:rPr>
          <w:b/>
          <w:sz w:val="22"/>
          <w:szCs w:val="22"/>
          <w:lang w:val="es-GT"/>
        </w:rPr>
        <w:t>ción</w:t>
      </w:r>
      <w:r w:rsidR="001B1C6F" w:rsidRPr="006F6351">
        <w:rPr>
          <w:b/>
          <w:sz w:val="22"/>
          <w:szCs w:val="22"/>
          <w:lang w:val="es-GT"/>
        </w:rPr>
        <w:t xml:space="preserve">: </w:t>
      </w:r>
      <w:r w:rsidRPr="00F87FF9">
        <w:rPr>
          <w:sz w:val="22"/>
          <w:szCs w:val="22"/>
          <w:lang w:val="es-GT"/>
        </w:rPr>
        <w:t>Entrevistas</w:t>
      </w:r>
      <w:r>
        <w:rPr>
          <w:b/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>con informa</w:t>
      </w:r>
      <w:r w:rsidRPr="00F87FF9">
        <w:rPr>
          <w:sz w:val="22"/>
          <w:szCs w:val="22"/>
          <w:lang w:val="es-GT"/>
        </w:rPr>
        <w:t>n</w:t>
      </w:r>
      <w:r>
        <w:rPr>
          <w:sz w:val="22"/>
          <w:szCs w:val="22"/>
          <w:lang w:val="es-GT"/>
        </w:rPr>
        <w:t>t</w:t>
      </w:r>
      <w:r w:rsidRPr="00F87FF9">
        <w:rPr>
          <w:sz w:val="22"/>
          <w:szCs w:val="22"/>
          <w:lang w:val="es-GT"/>
        </w:rPr>
        <w:t>es</w:t>
      </w:r>
      <w:r>
        <w:rPr>
          <w:b/>
          <w:sz w:val="22"/>
          <w:szCs w:val="22"/>
          <w:lang w:val="es-GT"/>
        </w:rPr>
        <w:t xml:space="preserve"> </w:t>
      </w:r>
      <w:r w:rsidRPr="00F87FF9">
        <w:rPr>
          <w:sz w:val="22"/>
          <w:szCs w:val="22"/>
          <w:lang w:val="es-GT"/>
        </w:rPr>
        <w:t>clave</w:t>
      </w:r>
      <w:r>
        <w:rPr>
          <w:b/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 xml:space="preserve">como comerciantes, funcionarios de gobierno, personal de campo y miembros </w:t>
      </w:r>
      <w:r w:rsidR="00AB213F">
        <w:rPr>
          <w:sz w:val="22"/>
          <w:szCs w:val="22"/>
          <w:lang w:val="es-GT"/>
        </w:rPr>
        <w:t>de la comunidad local</w:t>
      </w:r>
      <w:r w:rsidR="00B812B8">
        <w:rPr>
          <w:sz w:val="22"/>
          <w:szCs w:val="22"/>
          <w:lang w:val="es-GT"/>
        </w:rPr>
        <w:t>.</w:t>
      </w:r>
      <w:r w:rsidR="00AB213F">
        <w:rPr>
          <w:sz w:val="22"/>
          <w:szCs w:val="22"/>
          <w:lang w:val="es-GT"/>
        </w:rPr>
        <w:t xml:space="preserve">  </w:t>
      </w:r>
    </w:p>
    <w:p w:rsidR="0014482A" w:rsidRPr="006F6351" w:rsidRDefault="0014482A" w:rsidP="0014482A">
      <w:pPr>
        <w:rPr>
          <w:sz w:val="22"/>
          <w:szCs w:val="22"/>
          <w:lang w:val="es-GT"/>
        </w:rPr>
      </w:pPr>
    </w:p>
    <w:p w:rsidR="008435F9" w:rsidRDefault="008435F9">
      <w:pPr>
        <w:spacing w:after="160" w:line="259" w:lineRule="auto"/>
        <w:rPr>
          <w:b/>
          <w:sz w:val="22"/>
          <w:szCs w:val="22"/>
          <w:lang w:val="es-GT"/>
        </w:rPr>
      </w:pPr>
      <w:r>
        <w:rPr>
          <w:b/>
          <w:sz w:val="22"/>
          <w:szCs w:val="22"/>
          <w:lang w:val="es-GT"/>
        </w:rPr>
        <w:br w:type="page"/>
      </w:r>
    </w:p>
    <w:p w:rsidR="0014482A" w:rsidRPr="006F6351" w:rsidRDefault="00F37D51" w:rsidP="0014482A">
      <w:pPr>
        <w:rPr>
          <w:b/>
          <w:sz w:val="22"/>
          <w:szCs w:val="22"/>
          <w:lang w:val="es-GT"/>
        </w:rPr>
      </w:pPr>
      <w:r>
        <w:rPr>
          <w:noProof/>
          <w:sz w:val="22"/>
          <w:szCs w:val="22"/>
          <w:lang w:val="es-GT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1.25pt;margin-top:-8.25pt;width:259.5pt;height:30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" filled="f" stroked="f">
            <v:textbox>
              <w:txbxContent>
                <w:p w:rsidR="0043111F" w:rsidRPr="006E60F8" w:rsidRDefault="006E60F8">
                  <w:pPr>
                    <w:rPr>
                      <w:b/>
                      <w:sz w:val="20"/>
                      <w:szCs w:val="20"/>
                      <w:lang w:val="es-GT"/>
                    </w:rPr>
                  </w:pPr>
                  <w:r w:rsidRPr="006E60F8">
                    <w:rPr>
                      <w:b/>
                      <w:sz w:val="20"/>
                      <w:szCs w:val="20"/>
                      <w:lang w:val="es-GT"/>
                    </w:rPr>
                    <w:t xml:space="preserve">Gráfica </w:t>
                  </w:r>
                  <w:r w:rsidR="0043111F" w:rsidRPr="006E60F8">
                    <w:rPr>
                      <w:b/>
                      <w:sz w:val="20"/>
                      <w:szCs w:val="20"/>
                      <w:lang w:val="es-GT"/>
                    </w:rPr>
                    <w:t xml:space="preserve">1: </w:t>
                  </w:r>
                  <w:r w:rsidRPr="006E60F8">
                    <w:rPr>
                      <w:b/>
                      <w:sz w:val="20"/>
                      <w:szCs w:val="20"/>
                      <w:lang w:val="es-GT"/>
                    </w:rPr>
                    <w:t xml:space="preserve">Producción de </w:t>
                  </w:r>
                  <w:r>
                    <w:rPr>
                      <w:b/>
                      <w:sz w:val="20"/>
                      <w:szCs w:val="20"/>
                      <w:lang w:val="es-GT"/>
                    </w:rPr>
                    <w:t>M</w:t>
                  </w:r>
                  <w:r w:rsidRPr="006E60F8">
                    <w:rPr>
                      <w:b/>
                      <w:sz w:val="20"/>
                      <w:szCs w:val="20"/>
                      <w:lang w:val="es-GT"/>
                    </w:rPr>
                    <w:t xml:space="preserve">aíz y Flujos de Mercado </w:t>
                  </w:r>
                  <w:r>
                    <w:rPr>
                      <w:b/>
                      <w:sz w:val="20"/>
                      <w:szCs w:val="20"/>
                      <w:lang w:val="es-GT"/>
                    </w:rPr>
                    <w:t xml:space="preserve">en Kenia y Tanzania </w:t>
                  </w:r>
                  <w:r w:rsidR="0043111F" w:rsidRPr="006E60F8">
                    <w:rPr>
                      <w:b/>
                      <w:sz w:val="20"/>
                      <w:szCs w:val="20"/>
                      <w:lang w:val="es-GT"/>
                    </w:rPr>
                    <w:t xml:space="preserve">FEWS-NET </w:t>
                  </w:r>
                  <w:r w:rsidR="00996C95">
                    <w:rPr>
                      <w:b/>
                      <w:sz w:val="20"/>
                      <w:szCs w:val="20"/>
                      <w:lang w:val="es-GT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s-GT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8435F9">
        <w:rPr>
          <w:noProof/>
          <w:sz w:val="22"/>
          <w:szCs w:val="22"/>
          <w:lang w:val="es-GT" w:eastAsia="es-GT"/>
        </w:rPr>
        <w:drawing>
          <wp:anchor distT="0" distB="0" distL="114300" distR="114300" simplePos="0" relativeHeight="251664384" behindDoc="1" locked="0" layoutInCell="1" allowOverlap="1" wp14:anchorId="10EF6263" wp14:editId="4A9E1AC0">
            <wp:simplePos x="0" y="0"/>
            <wp:positionH relativeFrom="margin">
              <wp:posOffset>2524125</wp:posOffset>
            </wp:positionH>
            <wp:positionV relativeFrom="paragraph">
              <wp:posOffset>152400</wp:posOffset>
            </wp:positionV>
            <wp:extent cx="3752850" cy="4333875"/>
            <wp:effectExtent l="0" t="0" r="0" b="0"/>
            <wp:wrapTight wrapText="bothSides">
              <wp:wrapPolygon edited="0">
                <wp:start x="439" y="0"/>
                <wp:lineTo x="439" y="21553"/>
                <wp:lineTo x="21490" y="21553"/>
                <wp:lineTo x="21490" y="0"/>
                <wp:lineTo x="439" y="0"/>
              </wp:wrapPolygon>
            </wp:wrapTight>
            <wp:docPr id="4" name="P 11" descr="FEWS X-border map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6" descr="FEWS X-border map.tiff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25" r="-1099"/>
                    <a:stretch/>
                  </pic:blipFill>
                  <pic:spPr bwMode="auto">
                    <a:xfrm>
                      <a:off x="0" y="0"/>
                      <a:ext cx="37528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213F">
        <w:rPr>
          <w:b/>
          <w:sz w:val="22"/>
          <w:szCs w:val="22"/>
          <w:lang w:val="es-GT"/>
        </w:rPr>
        <w:t>Ejemplo</w:t>
      </w:r>
      <w:r w:rsidR="0014482A" w:rsidRPr="006F6351">
        <w:rPr>
          <w:b/>
          <w:sz w:val="22"/>
          <w:szCs w:val="22"/>
          <w:lang w:val="es-GT"/>
        </w:rPr>
        <w:t>: Map</w:t>
      </w:r>
      <w:r w:rsidR="00AB213F">
        <w:rPr>
          <w:b/>
          <w:sz w:val="22"/>
          <w:szCs w:val="22"/>
          <w:lang w:val="es-GT"/>
        </w:rPr>
        <w:t xml:space="preserve">a de producción de maíz y flujos comerciales  </w:t>
      </w:r>
    </w:p>
    <w:p w:rsidR="0014482A" w:rsidRPr="006F6351" w:rsidRDefault="0014482A" w:rsidP="0014482A">
      <w:pPr>
        <w:rPr>
          <w:i/>
          <w:sz w:val="22"/>
          <w:szCs w:val="22"/>
          <w:u w:val="single"/>
          <w:lang w:val="es-GT"/>
        </w:rPr>
      </w:pPr>
    </w:p>
    <w:p w:rsidR="0014482A" w:rsidRPr="006F6351" w:rsidRDefault="00AB213F" w:rsidP="0014482A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El mapa de </w:t>
      </w:r>
      <w:r w:rsidR="0014482A" w:rsidRPr="006F6351">
        <w:rPr>
          <w:sz w:val="22"/>
          <w:szCs w:val="22"/>
          <w:lang w:val="es-GT"/>
        </w:rPr>
        <w:t xml:space="preserve">FEWS NET </w:t>
      </w:r>
      <w:r>
        <w:rPr>
          <w:sz w:val="22"/>
          <w:szCs w:val="22"/>
          <w:lang w:val="es-GT"/>
        </w:rPr>
        <w:t xml:space="preserve">en la Gráfica </w:t>
      </w:r>
      <w:r w:rsidR="0014482A" w:rsidRPr="006F6351">
        <w:rPr>
          <w:sz w:val="22"/>
          <w:szCs w:val="22"/>
          <w:lang w:val="es-GT"/>
        </w:rPr>
        <w:t xml:space="preserve">1 </w:t>
      </w:r>
      <w:r>
        <w:rPr>
          <w:sz w:val="22"/>
          <w:szCs w:val="22"/>
          <w:lang w:val="es-GT"/>
        </w:rPr>
        <w:t xml:space="preserve">identifica </w:t>
      </w:r>
      <w:r w:rsidRPr="008435F9">
        <w:rPr>
          <w:sz w:val="22"/>
          <w:szCs w:val="22"/>
          <w:lang w:val="es-GT"/>
        </w:rPr>
        <w:t xml:space="preserve">cómo </w:t>
      </w:r>
      <w:r w:rsidR="00B812B8">
        <w:rPr>
          <w:sz w:val="22"/>
          <w:szCs w:val="22"/>
          <w:lang w:val="es-GT"/>
        </w:rPr>
        <w:t xml:space="preserve">la </w:t>
      </w:r>
      <w:r w:rsidRPr="008435F9">
        <w:rPr>
          <w:sz w:val="22"/>
          <w:szCs w:val="22"/>
          <w:lang w:val="es-GT"/>
        </w:rPr>
        <w:t>producción</w:t>
      </w:r>
      <w:r>
        <w:rPr>
          <w:sz w:val="22"/>
          <w:szCs w:val="22"/>
          <w:lang w:val="es-GT"/>
        </w:rPr>
        <w:t xml:space="preserve"> de maíz </w:t>
      </w:r>
      <w:r w:rsidR="00B812B8">
        <w:rPr>
          <w:sz w:val="22"/>
          <w:szCs w:val="22"/>
          <w:lang w:val="es-GT"/>
        </w:rPr>
        <w:t xml:space="preserve">fluye </w:t>
      </w:r>
      <w:r>
        <w:rPr>
          <w:sz w:val="22"/>
          <w:szCs w:val="22"/>
          <w:lang w:val="es-GT"/>
        </w:rPr>
        <w:t xml:space="preserve">en la región del norte de </w:t>
      </w:r>
      <w:r w:rsidR="0014482A" w:rsidRPr="006F6351">
        <w:rPr>
          <w:sz w:val="22"/>
          <w:szCs w:val="22"/>
          <w:lang w:val="es-GT"/>
        </w:rPr>
        <w:t xml:space="preserve">Tanzania, </w:t>
      </w:r>
      <w:r>
        <w:rPr>
          <w:sz w:val="22"/>
          <w:szCs w:val="22"/>
          <w:lang w:val="es-GT"/>
        </w:rPr>
        <w:t xml:space="preserve">el occidente de </w:t>
      </w:r>
      <w:r w:rsidR="0014482A" w:rsidRPr="006F6351">
        <w:rPr>
          <w:sz w:val="22"/>
          <w:szCs w:val="22"/>
          <w:lang w:val="es-GT"/>
        </w:rPr>
        <w:t>Ken</w:t>
      </w:r>
      <w:r>
        <w:rPr>
          <w:sz w:val="22"/>
          <w:szCs w:val="22"/>
          <w:lang w:val="es-GT"/>
        </w:rPr>
        <w:t>i</w:t>
      </w:r>
      <w:r w:rsidR="0014482A" w:rsidRPr="006F6351">
        <w:rPr>
          <w:sz w:val="22"/>
          <w:szCs w:val="22"/>
          <w:lang w:val="es-GT"/>
        </w:rPr>
        <w:t xml:space="preserve">a </w:t>
      </w:r>
      <w:r>
        <w:rPr>
          <w:sz w:val="22"/>
          <w:szCs w:val="22"/>
          <w:lang w:val="es-GT"/>
        </w:rPr>
        <w:t xml:space="preserve">y el oriente de </w:t>
      </w:r>
      <w:r w:rsidR="0014482A" w:rsidRPr="006F6351">
        <w:rPr>
          <w:sz w:val="22"/>
          <w:szCs w:val="22"/>
          <w:lang w:val="es-GT"/>
        </w:rPr>
        <w:t xml:space="preserve">Uganda </w:t>
      </w:r>
      <w:r>
        <w:rPr>
          <w:sz w:val="22"/>
          <w:szCs w:val="22"/>
          <w:lang w:val="es-GT"/>
        </w:rPr>
        <w:t>durante el año</w:t>
      </w:r>
      <w:r w:rsidR="0014482A" w:rsidRPr="006F6351">
        <w:rPr>
          <w:sz w:val="22"/>
          <w:szCs w:val="22"/>
          <w:lang w:val="es-GT"/>
        </w:rPr>
        <w:t xml:space="preserve">. </w:t>
      </w:r>
      <w:r>
        <w:rPr>
          <w:sz w:val="22"/>
          <w:szCs w:val="22"/>
          <w:lang w:val="es-GT"/>
        </w:rPr>
        <w:t xml:space="preserve">Este mapa identifica </w:t>
      </w:r>
      <w:r w:rsidR="00D20348">
        <w:rPr>
          <w:sz w:val="22"/>
          <w:szCs w:val="22"/>
          <w:lang w:val="es-GT"/>
        </w:rPr>
        <w:t xml:space="preserve">los prospectos de las regiones productoras de </w:t>
      </w:r>
      <w:r>
        <w:rPr>
          <w:sz w:val="22"/>
          <w:szCs w:val="22"/>
          <w:lang w:val="es-GT"/>
        </w:rPr>
        <w:t xml:space="preserve">excedentes </w:t>
      </w:r>
      <w:r w:rsidR="00D20348">
        <w:rPr>
          <w:sz w:val="22"/>
          <w:szCs w:val="22"/>
          <w:lang w:val="es-GT"/>
        </w:rPr>
        <w:t xml:space="preserve">así como las regiones que tienden a importar maíz. Observe que los flujos de maíz de las áreas fronterizas de </w:t>
      </w:r>
      <w:r w:rsidR="00B812B8">
        <w:rPr>
          <w:sz w:val="22"/>
          <w:szCs w:val="22"/>
          <w:lang w:val="es-GT"/>
        </w:rPr>
        <w:t>Tanzania</w:t>
      </w:r>
      <w:r w:rsidR="0014482A" w:rsidRPr="006F6351">
        <w:rPr>
          <w:sz w:val="22"/>
          <w:szCs w:val="22"/>
          <w:lang w:val="es-GT"/>
        </w:rPr>
        <w:t xml:space="preserve"> </w:t>
      </w:r>
      <w:r w:rsidR="00D20348">
        <w:rPr>
          <w:sz w:val="22"/>
          <w:szCs w:val="22"/>
          <w:lang w:val="es-GT"/>
        </w:rPr>
        <w:t xml:space="preserve">hacia </w:t>
      </w:r>
      <w:r w:rsidR="00B812B8" w:rsidRPr="006F6351">
        <w:rPr>
          <w:sz w:val="22"/>
          <w:szCs w:val="22"/>
          <w:lang w:val="es-GT"/>
        </w:rPr>
        <w:t>Kenia</w:t>
      </w:r>
      <w:r w:rsidR="0014482A" w:rsidRPr="006F6351">
        <w:rPr>
          <w:sz w:val="22"/>
          <w:szCs w:val="22"/>
          <w:lang w:val="es-GT"/>
        </w:rPr>
        <w:t xml:space="preserve"> </w:t>
      </w:r>
      <w:r w:rsidR="0010619B">
        <w:rPr>
          <w:sz w:val="22"/>
          <w:szCs w:val="22"/>
          <w:lang w:val="es-GT"/>
        </w:rPr>
        <w:t xml:space="preserve">coinciden con “precipitaciones prolongadas” de tipo bimodal en la época de cosecha de maíz.  </w:t>
      </w:r>
      <w:r w:rsidR="00D20348">
        <w:rPr>
          <w:sz w:val="22"/>
          <w:szCs w:val="22"/>
          <w:lang w:val="es-GT"/>
        </w:rPr>
        <w:t>Una falla en la producción de maíz en una región excedentaria podría afectar negativamente regiones importadoras</w:t>
      </w:r>
      <w:r w:rsidR="00AD1C1D" w:rsidRPr="00AD1C1D">
        <w:rPr>
          <w:sz w:val="22"/>
          <w:szCs w:val="22"/>
          <w:lang w:val="es-GT"/>
        </w:rPr>
        <w:t xml:space="preserve"> </w:t>
      </w:r>
      <w:r w:rsidR="00AD1C1D">
        <w:rPr>
          <w:sz w:val="22"/>
          <w:szCs w:val="22"/>
          <w:lang w:val="es-GT"/>
        </w:rPr>
        <w:t>colindantes</w:t>
      </w:r>
      <w:r w:rsidR="00D20348">
        <w:rPr>
          <w:sz w:val="22"/>
          <w:szCs w:val="22"/>
          <w:lang w:val="es-GT"/>
        </w:rPr>
        <w:t xml:space="preserve">. Evaluar si los mercados aledaños tienen vínculos con otros mercados excedentarios o con mercados de importación dilucidará la integración de mercado y las habilidades de los comerciantes para responder a aumentos en la demanda.  </w:t>
      </w:r>
    </w:p>
    <w:p w:rsidR="0014482A" w:rsidRPr="006F6351" w:rsidRDefault="00AD1C1D" w:rsidP="0014482A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</w:t>
      </w:r>
    </w:p>
    <w:p w:rsidR="00D02058" w:rsidRPr="006F6351" w:rsidRDefault="00F37D51">
      <w:pPr>
        <w:rPr>
          <w:sz w:val="22"/>
          <w:szCs w:val="22"/>
          <w:lang w:val="es-GT"/>
        </w:rPr>
      </w:pPr>
      <w:r>
        <w:rPr>
          <w:noProof/>
          <w:sz w:val="22"/>
          <w:szCs w:val="22"/>
          <w:lang w:val="es-GT" w:eastAsia="en-US"/>
        </w:rPr>
        <w:pict>
          <v:shape id="_x0000_s1027" type="#_x0000_t202" style="position:absolute;margin-left:210.75pt;margin-top:21.4pt;width:274.5pt;height:40.15pt;z-index:25166028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BfIwIAACU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" stroked="f">
            <v:textbox style="mso-fit-shape-to-text:t">
              <w:txbxContent>
                <w:p w:rsidR="0043111F" w:rsidRPr="0014482A" w:rsidRDefault="00BE4531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Fue</w:t>
                  </w:r>
                  <w:r w:rsidR="00D20348">
                    <w:rPr>
                      <w:i/>
                      <w:sz w:val="18"/>
                      <w:szCs w:val="18"/>
                    </w:rPr>
                    <w:t>n</w:t>
                  </w:r>
                  <w:r>
                    <w:rPr>
                      <w:i/>
                      <w:sz w:val="18"/>
                      <w:szCs w:val="18"/>
                    </w:rPr>
                    <w:t>t</w:t>
                  </w:r>
                  <w:r w:rsidR="00D20348">
                    <w:rPr>
                      <w:i/>
                      <w:sz w:val="18"/>
                      <w:szCs w:val="18"/>
                    </w:rPr>
                    <w:t>e</w:t>
                  </w:r>
                  <w:r w:rsidR="0043111F" w:rsidRPr="0014482A">
                    <w:rPr>
                      <w:i/>
                      <w:sz w:val="18"/>
                      <w:szCs w:val="18"/>
                    </w:rPr>
                    <w:t>: Awuor, T. (2007) “Review of Trade and Markets Relevant to Food Security in the Greater Horn of Africa: A special report by the Famine Early Warning Systems Network (FEWS-NET).” P. 24</w:t>
                  </w:r>
                </w:p>
              </w:txbxContent>
            </v:textbox>
            <w10:wrap type="square" anchorx="margin"/>
          </v:shape>
        </w:pict>
      </w:r>
    </w:p>
    <w:sectPr w:rsidR="00D02058" w:rsidRPr="006F6351" w:rsidSect="00AA3E53">
      <w:headerReference w:type="default" r:id="rId9"/>
      <w:pgSz w:w="12240" w:h="15840"/>
      <w:pgMar w:top="144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51" w:rsidRDefault="00F37D51" w:rsidP="001C38B0">
      <w:r>
        <w:separator/>
      </w:r>
    </w:p>
  </w:endnote>
  <w:endnote w:type="continuationSeparator" w:id="0">
    <w:p w:rsidR="00F37D51" w:rsidRDefault="00F37D51" w:rsidP="001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51" w:rsidRDefault="00F37D51" w:rsidP="001C38B0">
      <w:r>
        <w:separator/>
      </w:r>
    </w:p>
  </w:footnote>
  <w:footnote w:type="continuationSeparator" w:id="0">
    <w:p w:rsidR="00F37D51" w:rsidRDefault="00F37D51" w:rsidP="001C38B0">
      <w:r>
        <w:continuationSeparator/>
      </w:r>
    </w:p>
  </w:footnote>
  <w:footnote w:id="1">
    <w:p w:rsidR="0043111F" w:rsidRPr="0010619B" w:rsidRDefault="0043111F">
      <w:pPr>
        <w:pStyle w:val="Textonotapie"/>
        <w:rPr>
          <w:lang w:val="es-GT"/>
        </w:rPr>
      </w:pPr>
      <w:r w:rsidRPr="0010619B">
        <w:rPr>
          <w:rStyle w:val="Refdenotaalpie"/>
          <w:lang w:val="es-GT"/>
        </w:rPr>
        <w:footnoteRef/>
      </w:r>
      <w:r w:rsidR="0010619B" w:rsidRPr="0010619B">
        <w:rPr>
          <w:lang w:val="es-GT"/>
        </w:rPr>
        <w:t xml:space="preserve"> Adaptado de </w:t>
      </w:r>
      <w:r w:rsidRPr="0010619B">
        <w:rPr>
          <w:lang w:val="es-GT"/>
        </w:rPr>
        <w:t>“</w:t>
      </w:r>
      <w:r w:rsidRPr="00C05211">
        <w:rPr>
          <w:lang w:val="es-GT"/>
        </w:rPr>
        <w:t>Lecture 8: Market mapping</w:t>
      </w:r>
      <w:r w:rsidRPr="0010619B">
        <w:rPr>
          <w:lang w:val="es-GT"/>
        </w:rPr>
        <w:t xml:space="preserve">” </w:t>
      </w:r>
      <w:r w:rsidR="0010619B" w:rsidRPr="0010619B">
        <w:rPr>
          <w:lang w:val="es-GT"/>
        </w:rPr>
        <w:t xml:space="preserve">de los materiales del curso </w:t>
      </w:r>
      <w:r w:rsidRPr="0010619B">
        <w:rPr>
          <w:lang w:val="es-GT"/>
        </w:rPr>
        <w:t xml:space="preserve">MIFIRA, Chris Barrett </w:t>
      </w:r>
      <w:r w:rsidR="0010619B">
        <w:rPr>
          <w:lang w:val="es-GT"/>
        </w:rPr>
        <w:t>y</w:t>
      </w:r>
      <w:r w:rsidR="0010619B" w:rsidRPr="0010619B">
        <w:rPr>
          <w:lang w:val="es-GT"/>
        </w:rPr>
        <w:t xml:space="preserve"> </w:t>
      </w:r>
      <w:r w:rsidRPr="0010619B">
        <w:rPr>
          <w:lang w:val="es-GT"/>
        </w:rPr>
        <w:t xml:space="preserve">Erin Lentz, 2010. </w:t>
      </w:r>
      <w:r w:rsidR="0010619B" w:rsidRPr="0010619B">
        <w:rPr>
          <w:lang w:val="es-GT"/>
        </w:rPr>
        <w:t xml:space="preserve">Disponible en </w:t>
      </w:r>
      <w:hyperlink r:id="rId1" w:history="1">
        <w:r w:rsidRPr="0010619B">
          <w:rPr>
            <w:rStyle w:val="Hipervnculo"/>
            <w:lang w:val="es-GT"/>
          </w:rPr>
          <w:t>http://dyson.cornell.edu/faculty_sites/cbb2/MIFIRA/course/</w:t>
        </w:r>
      </w:hyperlink>
      <w:r w:rsidRPr="0010619B">
        <w:rPr>
          <w:lang w:val="es-GT"/>
        </w:rPr>
        <w:t xml:space="preserve"> </w:t>
      </w:r>
    </w:p>
  </w:footnote>
  <w:footnote w:id="2">
    <w:p w:rsidR="0043111F" w:rsidRPr="00AA3E53" w:rsidRDefault="0043111F" w:rsidP="00AA3E53">
      <w:pPr>
        <w:tabs>
          <w:tab w:val="left" w:pos="450"/>
        </w:tabs>
        <w:rPr>
          <w:rFonts w:ascii="Calibri" w:hAnsi="Calibri"/>
          <w:sz w:val="20"/>
          <w:szCs w:val="20"/>
        </w:rPr>
      </w:pPr>
      <w:r w:rsidRPr="00AA3E53">
        <w:rPr>
          <w:rStyle w:val="Refdenotaalpie"/>
          <w:sz w:val="20"/>
          <w:szCs w:val="20"/>
        </w:rPr>
        <w:footnoteRef/>
      </w:r>
      <w:r w:rsidRPr="00AA3E53">
        <w:rPr>
          <w:sz w:val="20"/>
          <w:szCs w:val="20"/>
        </w:rPr>
        <w:t xml:space="preserve"> </w:t>
      </w:r>
      <w:r w:rsidRPr="00AA3E53">
        <w:rPr>
          <w:rFonts w:ascii="Calibri" w:hAnsi="Calibri"/>
          <w:sz w:val="20"/>
          <w:szCs w:val="20"/>
        </w:rPr>
        <w:t xml:space="preserve">Adams, Leslie </w:t>
      </w:r>
      <w:r w:rsidR="008435F9">
        <w:rPr>
          <w:rFonts w:ascii="Calibri" w:hAnsi="Calibri"/>
          <w:sz w:val="20"/>
          <w:szCs w:val="20"/>
        </w:rPr>
        <w:t xml:space="preserve">and </w:t>
      </w:r>
      <w:r w:rsidRPr="00AA3E53">
        <w:rPr>
          <w:rFonts w:ascii="Calibri" w:hAnsi="Calibri"/>
          <w:sz w:val="20"/>
          <w:szCs w:val="20"/>
        </w:rPr>
        <w:t xml:space="preserve">Paul Harvey.  2006.  “Learning from cash responses to the tsunami: Issue Paper 1 - Analysing markets.”  September.  Humanitarian Policy Group: Overseas Development Institute, London. </w:t>
      </w:r>
    </w:p>
  </w:footnote>
  <w:footnote w:id="3">
    <w:p w:rsidR="0043111F" w:rsidRPr="00AA3E53" w:rsidRDefault="0043111F" w:rsidP="00AA3E53">
      <w:pPr>
        <w:tabs>
          <w:tab w:val="left" w:pos="450"/>
        </w:tabs>
        <w:rPr>
          <w:rFonts w:ascii="Calibri" w:hAnsi="Calibri"/>
          <w:sz w:val="20"/>
          <w:szCs w:val="20"/>
        </w:rPr>
      </w:pPr>
      <w:r w:rsidRPr="00AA3E53">
        <w:rPr>
          <w:rStyle w:val="Refdenotaalpie"/>
          <w:sz w:val="20"/>
          <w:szCs w:val="20"/>
        </w:rPr>
        <w:footnoteRef/>
      </w:r>
      <w:r w:rsidRPr="00AA3E53">
        <w:rPr>
          <w:sz w:val="20"/>
          <w:szCs w:val="20"/>
        </w:rPr>
        <w:t xml:space="preserve"> </w:t>
      </w:r>
      <w:r w:rsidRPr="00AA3E53">
        <w:rPr>
          <w:rFonts w:ascii="Calibri" w:hAnsi="Calibri"/>
          <w:sz w:val="20"/>
          <w:szCs w:val="20"/>
        </w:rPr>
        <w:t>Timmer, C. P., W.D. Fal</w:t>
      </w:r>
      <w:r>
        <w:rPr>
          <w:rFonts w:ascii="Calibri" w:hAnsi="Calibri"/>
          <w:sz w:val="20"/>
          <w:szCs w:val="20"/>
        </w:rPr>
        <w:t>con, and S.R. Pearson.  (1983).</w:t>
      </w:r>
      <w:r w:rsidRPr="00AA3E53">
        <w:rPr>
          <w:rFonts w:ascii="Calibri" w:hAnsi="Calibri"/>
          <w:sz w:val="20"/>
          <w:szCs w:val="20"/>
        </w:rPr>
        <w:t xml:space="preserve"> Food Policy Analysis.  Baltimore:</w:t>
      </w:r>
      <w:r>
        <w:rPr>
          <w:rFonts w:ascii="Calibri" w:hAnsi="Calibri"/>
          <w:sz w:val="20"/>
          <w:szCs w:val="20"/>
        </w:rPr>
        <w:t xml:space="preserve"> </w:t>
      </w:r>
      <w:r w:rsidRPr="00AA3E53">
        <w:rPr>
          <w:rFonts w:ascii="Calibri" w:hAnsi="Calibri"/>
          <w:sz w:val="20"/>
          <w:szCs w:val="20"/>
        </w:rPr>
        <w:t xml:space="preserve">Johns Hopkins University Press: Chapter 4, “Marketing Functions, Markets, and Food Price Formation.”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11F" w:rsidRPr="00D91589" w:rsidRDefault="00D91589">
    <w:pPr>
      <w:pStyle w:val="Encabezado"/>
      <w:rPr>
        <w:color w:val="808080" w:themeColor="background1" w:themeShade="80"/>
        <w:sz w:val="22"/>
        <w:szCs w:val="22"/>
        <w:lang w:val="es-GT"/>
      </w:rPr>
    </w:pPr>
    <w:r w:rsidRPr="00D91589">
      <w:rPr>
        <w:color w:val="808080" w:themeColor="background1" w:themeShade="80"/>
        <w:sz w:val="22"/>
        <w:szCs w:val="22"/>
        <w:lang w:val="es-GT"/>
      </w:rPr>
      <w:t xml:space="preserve">Para </w:t>
    </w:r>
    <w:r w:rsidR="00FC6756">
      <w:rPr>
        <w:color w:val="808080" w:themeColor="background1" w:themeShade="80"/>
        <w:sz w:val="22"/>
        <w:szCs w:val="22"/>
        <w:lang w:val="es-GT"/>
      </w:rPr>
      <w:t xml:space="preserve">utilizarse </w:t>
    </w:r>
    <w:r w:rsidRPr="00D91589">
      <w:rPr>
        <w:color w:val="808080" w:themeColor="background1" w:themeShade="80"/>
        <w:sz w:val="22"/>
        <w:szCs w:val="22"/>
        <w:lang w:val="es-GT"/>
      </w:rPr>
      <w:t xml:space="preserve">con el Manual </w:t>
    </w:r>
    <w:proofErr w:type="spellStart"/>
    <w:r w:rsidR="0043111F" w:rsidRPr="00D91589">
      <w:rPr>
        <w:color w:val="808080" w:themeColor="background1" w:themeShade="80"/>
        <w:sz w:val="22"/>
        <w:szCs w:val="22"/>
        <w:lang w:val="es-GT"/>
      </w:rPr>
      <w:t>MARKit</w:t>
    </w:r>
    <w:proofErr w:type="spellEnd"/>
    <w:r w:rsidRPr="00D91589">
      <w:rPr>
        <w:color w:val="808080" w:themeColor="background1" w:themeShade="80"/>
        <w:sz w:val="22"/>
        <w:szCs w:val="22"/>
        <w:lang w:val="es-GT"/>
      </w:rPr>
      <w:t>,</w:t>
    </w:r>
    <w:r w:rsidR="0043111F" w:rsidRPr="00D91589">
      <w:rPr>
        <w:color w:val="808080" w:themeColor="background1" w:themeShade="80"/>
        <w:sz w:val="22"/>
        <w:szCs w:val="22"/>
        <w:lang w:val="es-GT"/>
      </w:rPr>
      <w:t xml:space="preserve"> se</w:t>
    </w:r>
    <w:r w:rsidRPr="00D91589">
      <w:rPr>
        <w:color w:val="808080" w:themeColor="background1" w:themeShade="80"/>
        <w:sz w:val="22"/>
        <w:szCs w:val="22"/>
        <w:lang w:val="es-GT"/>
      </w:rPr>
      <w:t xml:space="preserve">cción </w:t>
    </w:r>
    <w:r w:rsidR="0043111F" w:rsidRPr="00D91589">
      <w:rPr>
        <w:color w:val="808080" w:themeColor="background1" w:themeShade="80"/>
        <w:sz w:val="22"/>
        <w:szCs w:val="22"/>
        <w:lang w:val="es-GT"/>
      </w:rPr>
      <w:t xml:space="preserve">5.3 </w:t>
    </w:r>
    <w:r w:rsidRPr="00D91589">
      <w:rPr>
        <w:color w:val="808080" w:themeColor="background1" w:themeShade="80"/>
        <w:sz w:val="22"/>
        <w:szCs w:val="22"/>
        <w:lang w:val="es-GT"/>
      </w:rPr>
      <w:t>Perturbaciones de la oferta</w:t>
    </w:r>
    <w:r w:rsidR="0043111F" w:rsidRPr="00D91589">
      <w:rPr>
        <w:color w:val="808080" w:themeColor="background1" w:themeShade="80"/>
        <w:sz w:val="22"/>
        <w:szCs w:val="22"/>
        <w:lang w:val="es-GT"/>
      </w:rPr>
      <w:t xml:space="preserve">, 5.4 </w:t>
    </w:r>
    <w:r w:rsidRPr="00D91589">
      <w:rPr>
        <w:color w:val="808080" w:themeColor="background1" w:themeShade="80"/>
        <w:sz w:val="22"/>
        <w:szCs w:val="22"/>
        <w:lang w:val="es-GT"/>
      </w:rPr>
      <w:t xml:space="preserve">Perturbaciones de la demanda y </w:t>
    </w:r>
    <w:r w:rsidR="0043111F" w:rsidRPr="00D91589">
      <w:rPr>
        <w:color w:val="808080" w:themeColor="background1" w:themeShade="80"/>
        <w:sz w:val="22"/>
        <w:szCs w:val="22"/>
        <w:lang w:val="es-GT"/>
      </w:rPr>
      <w:t>5.7 Pol</w:t>
    </w:r>
    <w:r w:rsidRPr="00D91589">
      <w:rPr>
        <w:color w:val="808080" w:themeColor="background1" w:themeShade="80"/>
        <w:sz w:val="22"/>
        <w:szCs w:val="22"/>
        <w:lang w:val="es-GT"/>
      </w:rPr>
      <w:t xml:space="preserve">íticas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67F"/>
    <w:multiLevelType w:val="hybridMultilevel"/>
    <w:tmpl w:val="05340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82A"/>
    <w:rsid w:val="000436D3"/>
    <w:rsid w:val="0010619B"/>
    <w:rsid w:val="00133D68"/>
    <w:rsid w:val="0014482A"/>
    <w:rsid w:val="00146527"/>
    <w:rsid w:val="00151D19"/>
    <w:rsid w:val="0019323F"/>
    <w:rsid w:val="001B1C6F"/>
    <w:rsid w:val="001C38B0"/>
    <w:rsid w:val="002E12D9"/>
    <w:rsid w:val="00354862"/>
    <w:rsid w:val="0043111F"/>
    <w:rsid w:val="00540CAF"/>
    <w:rsid w:val="005930BC"/>
    <w:rsid w:val="005A1B25"/>
    <w:rsid w:val="00654363"/>
    <w:rsid w:val="006575D7"/>
    <w:rsid w:val="006E60F8"/>
    <w:rsid w:val="006F6351"/>
    <w:rsid w:val="0073473D"/>
    <w:rsid w:val="007B7B69"/>
    <w:rsid w:val="007D1A14"/>
    <w:rsid w:val="007E6099"/>
    <w:rsid w:val="008435F9"/>
    <w:rsid w:val="008B1C5A"/>
    <w:rsid w:val="008F53FD"/>
    <w:rsid w:val="00902E2A"/>
    <w:rsid w:val="00996C95"/>
    <w:rsid w:val="00996F37"/>
    <w:rsid w:val="00A339C0"/>
    <w:rsid w:val="00A370D1"/>
    <w:rsid w:val="00A72BC0"/>
    <w:rsid w:val="00A809B8"/>
    <w:rsid w:val="00AA3E53"/>
    <w:rsid w:val="00AB213F"/>
    <w:rsid w:val="00AC5AF8"/>
    <w:rsid w:val="00AD1C1D"/>
    <w:rsid w:val="00AD642E"/>
    <w:rsid w:val="00B43CD7"/>
    <w:rsid w:val="00B812B8"/>
    <w:rsid w:val="00BE4531"/>
    <w:rsid w:val="00C05211"/>
    <w:rsid w:val="00C16E6E"/>
    <w:rsid w:val="00C22722"/>
    <w:rsid w:val="00C8338D"/>
    <w:rsid w:val="00CC390F"/>
    <w:rsid w:val="00D00A57"/>
    <w:rsid w:val="00D02058"/>
    <w:rsid w:val="00D10AC2"/>
    <w:rsid w:val="00D163E4"/>
    <w:rsid w:val="00D20348"/>
    <w:rsid w:val="00D91589"/>
    <w:rsid w:val="00DA7BAC"/>
    <w:rsid w:val="00E77623"/>
    <w:rsid w:val="00EB2C55"/>
    <w:rsid w:val="00ED6164"/>
    <w:rsid w:val="00EF3BDF"/>
    <w:rsid w:val="00F13660"/>
    <w:rsid w:val="00F3382E"/>
    <w:rsid w:val="00F37327"/>
    <w:rsid w:val="00F37D51"/>
    <w:rsid w:val="00F87FF9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1BA774"/>
  <w15:docId w15:val="{9578B26C-4CAD-4BC4-95AB-FF28ACA1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82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82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C3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38B0"/>
    <w:rPr>
      <w:rFonts w:eastAsiaTheme="minorEastAsia"/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1C38B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C38B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2C5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C55"/>
    <w:rPr>
      <w:rFonts w:eastAsiaTheme="minorEastAsia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EB2C5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C55"/>
    <w:rPr>
      <w:rFonts w:eastAsiaTheme="minorEastAsia"/>
      <w:sz w:val="24"/>
      <w:szCs w:val="24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C16E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6E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6E6E"/>
    <w:rPr>
      <w:rFonts w:eastAsiaTheme="minorEastAsia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6E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6E6E"/>
    <w:rPr>
      <w:rFonts w:eastAsiaTheme="minorEastAsia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E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E6E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yson.cornell.edu/faculty_sites/cbb2/MIFIRA/cour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97BD-A249-4DAD-AE06-803A9F68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LCramer</dc:creator>
  <cp:lastModifiedBy>Lidia Murga</cp:lastModifiedBy>
  <cp:revision>14</cp:revision>
  <dcterms:created xsi:type="dcterms:W3CDTF">2016-03-07T12:31:00Z</dcterms:created>
  <dcterms:modified xsi:type="dcterms:W3CDTF">2018-02-12T22:03:00Z</dcterms:modified>
</cp:coreProperties>
</file>