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B8B" w:rsidRPr="001D09EB" w:rsidRDefault="00F361A9" w:rsidP="00261106">
      <w:pPr>
        <w:spacing w:after="120" w:line="240" w:lineRule="auto"/>
        <w:jc w:val="center"/>
        <w:rPr>
          <w:b/>
          <w:lang w:val="es-GT"/>
        </w:rPr>
      </w:pPr>
      <w:r w:rsidRPr="001D09EB">
        <w:rPr>
          <w:b/>
          <w:lang w:val="es-GT"/>
        </w:rPr>
        <w:t xml:space="preserve">HOJA DE TRABAJO </w:t>
      </w:r>
      <w:r w:rsidR="007C3A44" w:rsidRPr="001D09EB">
        <w:rPr>
          <w:b/>
          <w:lang w:val="es-GT"/>
        </w:rPr>
        <w:t>5</w:t>
      </w:r>
      <w:r w:rsidRPr="001D09EB">
        <w:rPr>
          <w:b/>
          <w:lang w:val="es-GT"/>
        </w:rPr>
        <w:t xml:space="preserve">: </w:t>
      </w:r>
      <w:r w:rsidR="00B01937">
        <w:rPr>
          <w:b/>
          <w:lang w:val="es-GT"/>
        </w:rPr>
        <w:t>CÁLCULO</w:t>
      </w:r>
      <w:r w:rsidRPr="001D09EB">
        <w:rPr>
          <w:b/>
          <w:lang w:val="es-GT"/>
        </w:rPr>
        <w:t xml:space="preserve"> DEL </w:t>
      </w:r>
      <w:r w:rsidR="00B01937">
        <w:rPr>
          <w:b/>
          <w:lang w:val="es-GT"/>
        </w:rPr>
        <w:t>ÍNDICE</w:t>
      </w:r>
      <w:r w:rsidRPr="001D09EB">
        <w:rPr>
          <w:b/>
          <w:lang w:val="es-GT"/>
        </w:rPr>
        <w:t xml:space="preserve"> ESTACIONAL  </w:t>
      </w:r>
    </w:p>
    <w:p w:rsidR="004165AE" w:rsidRPr="00F361A9" w:rsidRDefault="00F361A9" w:rsidP="00261106">
      <w:pPr>
        <w:spacing w:after="120" w:line="240" w:lineRule="auto"/>
        <w:rPr>
          <w:lang w:val="es-GT"/>
        </w:rPr>
      </w:pPr>
      <w:r w:rsidRPr="00F361A9">
        <w:rPr>
          <w:b/>
          <w:lang w:val="es-GT"/>
        </w:rPr>
        <w:t>Definición</w:t>
      </w:r>
      <w:r w:rsidR="00EB452D" w:rsidRPr="00F361A9">
        <w:rPr>
          <w:lang w:val="es-GT"/>
        </w:rPr>
        <w:t>:</w:t>
      </w:r>
      <w:r w:rsidR="00261106" w:rsidRPr="00F361A9">
        <w:rPr>
          <w:lang w:val="es-GT"/>
        </w:rPr>
        <w:t xml:space="preserve"> </w:t>
      </w:r>
      <w:r>
        <w:rPr>
          <w:lang w:val="es-GT"/>
        </w:rPr>
        <w:t>El índice estacional es la relación entre el precio promedio de un mes en particular al promedio total del precio anual</w:t>
      </w:r>
      <w:r w:rsidR="00261106" w:rsidRPr="00F361A9">
        <w:rPr>
          <w:lang w:val="es-GT"/>
        </w:rPr>
        <w:t xml:space="preserve">. </w:t>
      </w:r>
      <w:r>
        <w:rPr>
          <w:lang w:val="es-GT"/>
        </w:rPr>
        <w:t xml:space="preserve">Hacer una gráfica del índice estacional para cada mes mostrará el patrón estacional de los precios para un producto en particular.  </w:t>
      </w:r>
    </w:p>
    <w:p w:rsidR="00EB452D" w:rsidRPr="00F361A9" w:rsidRDefault="00A86637" w:rsidP="00261106">
      <w:pPr>
        <w:spacing w:after="120" w:line="240" w:lineRule="auto"/>
        <w:rPr>
          <w:lang w:val="es-GT"/>
        </w:rPr>
      </w:pPr>
      <w:r>
        <w:rPr>
          <w:b/>
          <w:lang w:val="es-GT"/>
        </w:rPr>
        <w:t>Datos necesarios</w:t>
      </w:r>
      <w:r w:rsidR="00EB452D" w:rsidRPr="00F361A9">
        <w:rPr>
          <w:lang w:val="es-GT"/>
        </w:rPr>
        <w:t xml:space="preserve">: </w:t>
      </w:r>
      <w:r w:rsidR="00F361A9">
        <w:rPr>
          <w:lang w:val="es-GT"/>
        </w:rPr>
        <w:t xml:space="preserve">Mínimo de </w:t>
      </w:r>
      <w:r w:rsidR="001D09EB">
        <w:rPr>
          <w:lang w:val="es-GT"/>
        </w:rPr>
        <w:t xml:space="preserve">3 </w:t>
      </w:r>
      <w:r w:rsidR="00F361A9">
        <w:rPr>
          <w:lang w:val="es-GT"/>
        </w:rPr>
        <w:t>años de datos de precios mensuales</w:t>
      </w:r>
      <w:r w:rsidR="00EB452D" w:rsidRPr="00F361A9">
        <w:rPr>
          <w:lang w:val="es-GT"/>
        </w:rPr>
        <w:t>; ideal</w:t>
      </w:r>
      <w:r w:rsidR="00F361A9">
        <w:rPr>
          <w:lang w:val="es-GT"/>
        </w:rPr>
        <w:t xml:space="preserve">mente un mínimo de </w:t>
      </w:r>
      <w:r w:rsidR="001D09EB">
        <w:rPr>
          <w:lang w:val="es-GT"/>
        </w:rPr>
        <w:t xml:space="preserve">5 </w:t>
      </w:r>
      <w:r w:rsidR="00F361A9">
        <w:rPr>
          <w:lang w:val="es-GT"/>
        </w:rPr>
        <w:t xml:space="preserve">años.  </w:t>
      </w:r>
    </w:p>
    <w:p w:rsidR="00EB452D" w:rsidRPr="00F361A9" w:rsidRDefault="00A86637" w:rsidP="00261106">
      <w:pPr>
        <w:spacing w:after="120" w:line="240" w:lineRule="auto"/>
        <w:rPr>
          <w:lang w:val="es-GT"/>
        </w:rPr>
      </w:pPr>
      <w:r>
        <w:rPr>
          <w:b/>
          <w:lang w:val="es-GT"/>
        </w:rPr>
        <w:t>¿</w:t>
      </w:r>
      <w:r w:rsidR="00F361A9">
        <w:rPr>
          <w:b/>
          <w:lang w:val="es-GT"/>
        </w:rPr>
        <w:t>Cómo calcularlo</w:t>
      </w:r>
      <w:r>
        <w:rPr>
          <w:b/>
          <w:lang w:val="es-GT"/>
        </w:rPr>
        <w:t>?</w:t>
      </w:r>
    </w:p>
    <w:p w:rsidR="00896FB1" w:rsidRPr="00F361A9" w:rsidRDefault="00261106" w:rsidP="00261106">
      <w:pPr>
        <w:pStyle w:val="Prrafodelista"/>
        <w:numPr>
          <w:ilvl w:val="0"/>
          <w:numId w:val="3"/>
        </w:numPr>
        <w:spacing w:after="120" w:line="240" w:lineRule="auto"/>
        <w:contextualSpacing w:val="0"/>
        <w:rPr>
          <w:lang w:val="es-GT"/>
        </w:rPr>
      </w:pPr>
      <w:r w:rsidRPr="00F361A9">
        <w:rPr>
          <w:lang w:val="es-GT"/>
        </w:rPr>
        <w:t>Selec</w:t>
      </w:r>
      <w:r w:rsidR="006A28AB">
        <w:rPr>
          <w:lang w:val="es-GT"/>
        </w:rPr>
        <w:t>cione</w:t>
      </w:r>
      <w:r w:rsidR="00925B21">
        <w:rPr>
          <w:lang w:val="es-GT"/>
        </w:rPr>
        <w:t xml:space="preserve"> un producto</w:t>
      </w:r>
      <w:r w:rsidRPr="00F361A9">
        <w:rPr>
          <w:lang w:val="es-GT"/>
        </w:rPr>
        <w:t xml:space="preserve">. </w:t>
      </w:r>
      <w:r w:rsidR="00925B21">
        <w:rPr>
          <w:lang w:val="es-GT"/>
        </w:rPr>
        <w:t xml:space="preserve">Tome el precio promedio para cada mes a lo largo de los años en un mercado.  </w:t>
      </w:r>
    </w:p>
    <w:p w:rsidR="00EB452D" w:rsidRPr="00291289" w:rsidRDefault="006A28AB" w:rsidP="00261106">
      <w:pPr>
        <w:pStyle w:val="Prrafodelista"/>
        <w:spacing w:after="120" w:line="240" w:lineRule="auto"/>
      </w:pPr>
      <w:r>
        <w:t>E</w:t>
      </w:r>
      <w:r w:rsidR="00EB452D" w:rsidRPr="00291289">
        <w:t>N</w:t>
      </w:r>
      <w:r>
        <w:t>E</w:t>
      </w:r>
      <w:r>
        <w:rPr>
          <w:vertAlign w:val="subscript"/>
        </w:rPr>
        <w:t>PROM</w:t>
      </w:r>
      <w:r w:rsidR="00EB452D" w:rsidRPr="00291289">
        <w:t xml:space="preserve"> = (P</w:t>
      </w:r>
      <w:r w:rsidR="00EB452D" w:rsidRPr="00291289">
        <w:rPr>
          <w:vertAlign w:val="subscript"/>
        </w:rPr>
        <w:t>1/2010</w:t>
      </w:r>
      <w:r w:rsidR="00EB452D" w:rsidRPr="00291289">
        <w:t xml:space="preserve"> + P</w:t>
      </w:r>
      <w:r w:rsidR="00EB452D" w:rsidRPr="00291289">
        <w:rPr>
          <w:vertAlign w:val="subscript"/>
        </w:rPr>
        <w:t>1/2011</w:t>
      </w:r>
      <w:r w:rsidR="00EB452D" w:rsidRPr="00291289">
        <w:t xml:space="preserve"> + P</w:t>
      </w:r>
      <w:r w:rsidR="00EB452D" w:rsidRPr="00291289">
        <w:rPr>
          <w:vertAlign w:val="subscript"/>
        </w:rPr>
        <w:t>1/2012</w:t>
      </w:r>
      <w:r w:rsidR="00EB452D" w:rsidRPr="00291289">
        <w:t xml:space="preserve"> + P</w:t>
      </w:r>
      <w:r w:rsidR="00EB452D" w:rsidRPr="00291289">
        <w:rPr>
          <w:vertAlign w:val="subscript"/>
        </w:rPr>
        <w:t>1/2013</w:t>
      </w:r>
      <w:r w:rsidR="00EB452D" w:rsidRPr="00291289">
        <w:t xml:space="preserve"> + P</w:t>
      </w:r>
      <w:r w:rsidR="00EB452D" w:rsidRPr="00291289">
        <w:rPr>
          <w:vertAlign w:val="subscript"/>
        </w:rPr>
        <w:t>1/2014</w:t>
      </w:r>
      <w:r w:rsidR="00EB452D" w:rsidRPr="00291289">
        <w:t>)/5</w:t>
      </w:r>
    </w:p>
    <w:p w:rsidR="00EB452D" w:rsidRPr="00291289" w:rsidRDefault="00EB452D" w:rsidP="00261106">
      <w:pPr>
        <w:pStyle w:val="Prrafodelista"/>
        <w:spacing w:after="120" w:line="240" w:lineRule="auto"/>
      </w:pPr>
      <w:r w:rsidRPr="00291289">
        <w:t>FEB</w:t>
      </w:r>
      <w:r w:rsidR="006A28AB">
        <w:rPr>
          <w:vertAlign w:val="subscript"/>
        </w:rPr>
        <w:t>PROM</w:t>
      </w:r>
      <w:r w:rsidRPr="00291289">
        <w:t xml:space="preserve"> = (P</w:t>
      </w:r>
      <w:r w:rsidRPr="00291289">
        <w:rPr>
          <w:vertAlign w:val="subscript"/>
        </w:rPr>
        <w:t>2/2010</w:t>
      </w:r>
      <w:r w:rsidRPr="00291289">
        <w:t xml:space="preserve"> + P</w:t>
      </w:r>
      <w:r w:rsidRPr="00291289">
        <w:rPr>
          <w:vertAlign w:val="subscript"/>
        </w:rPr>
        <w:t>2/2011</w:t>
      </w:r>
      <w:r w:rsidRPr="00291289">
        <w:t xml:space="preserve"> + P</w:t>
      </w:r>
      <w:r w:rsidRPr="00291289">
        <w:rPr>
          <w:vertAlign w:val="subscript"/>
        </w:rPr>
        <w:t>2/2012</w:t>
      </w:r>
      <w:r w:rsidRPr="00291289">
        <w:t xml:space="preserve"> + P</w:t>
      </w:r>
      <w:r w:rsidRPr="00291289">
        <w:rPr>
          <w:vertAlign w:val="subscript"/>
        </w:rPr>
        <w:t>2/2013</w:t>
      </w:r>
      <w:r w:rsidRPr="00291289">
        <w:t xml:space="preserve"> + P</w:t>
      </w:r>
      <w:r w:rsidRPr="00291289">
        <w:rPr>
          <w:vertAlign w:val="subscript"/>
        </w:rPr>
        <w:t>2/2014</w:t>
      </w:r>
      <w:r w:rsidRPr="00291289">
        <w:t>)/5</w:t>
      </w:r>
    </w:p>
    <w:p w:rsidR="00EB452D" w:rsidRPr="00291289" w:rsidRDefault="00EB452D" w:rsidP="00261106">
      <w:pPr>
        <w:pStyle w:val="Prrafodelista"/>
        <w:spacing w:after="120" w:line="240" w:lineRule="auto"/>
      </w:pPr>
    </w:p>
    <w:p w:rsidR="00EB452D" w:rsidRPr="00F361A9" w:rsidRDefault="00925B21" w:rsidP="00261106">
      <w:pPr>
        <w:pStyle w:val="Prrafodelista"/>
        <w:numPr>
          <w:ilvl w:val="0"/>
          <w:numId w:val="3"/>
        </w:numPr>
        <w:spacing w:after="120" w:line="240" w:lineRule="auto"/>
        <w:rPr>
          <w:lang w:val="es-GT"/>
        </w:rPr>
      </w:pPr>
      <w:r>
        <w:rPr>
          <w:lang w:val="es-GT"/>
        </w:rPr>
        <w:t xml:space="preserve">Tome el promedio total a lo largo de los meses y años para el mercado  </w:t>
      </w:r>
    </w:p>
    <w:p w:rsidR="00896FB1" w:rsidRPr="00A86637" w:rsidRDefault="00925B21" w:rsidP="00261106">
      <w:pPr>
        <w:spacing w:after="120" w:line="240" w:lineRule="auto"/>
        <w:ind w:left="2790" w:hanging="2070"/>
      </w:pPr>
      <w:r w:rsidRPr="00A86637">
        <w:t xml:space="preserve">PROMEDIO TOTAL </w:t>
      </w:r>
      <w:r w:rsidR="00896FB1" w:rsidRPr="00A86637">
        <w:t xml:space="preserve">= </w:t>
      </w:r>
      <w:r w:rsidR="001C3F27" w:rsidRPr="00A86637">
        <w:t>(</w:t>
      </w:r>
      <w:r w:rsidR="006A28AB" w:rsidRPr="00A86637">
        <w:t>ENE</w:t>
      </w:r>
      <w:r w:rsidR="00A86637" w:rsidRPr="00A86637">
        <w:rPr>
          <w:vertAlign w:val="subscript"/>
        </w:rPr>
        <w:t>PROM</w:t>
      </w:r>
      <w:r w:rsidR="00896FB1" w:rsidRPr="00A86637">
        <w:t xml:space="preserve"> + FEB</w:t>
      </w:r>
      <w:r w:rsidR="00A86637" w:rsidRPr="00A86637">
        <w:rPr>
          <w:vertAlign w:val="subscript"/>
        </w:rPr>
        <w:t>PROM</w:t>
      </w:r>
      <w:r w:rsidR="00896FB1" w:rsidRPr="00A86637">
        <w:t xml:space="preserve"> + MAR</w:t>
      </w:r>
      <w:bookmarkStart w:id="0" w:name="_GoBack"/>
      <w:bookmarkEnd w:id="0"/>
      <w:r w:rsidR="00A86637" w:rsidRPr="00A86637">
        <w:rPr>
          <w:vertAlign w:val="subscript"/>
        </w:rPr>
        <w:t>PROM</w:t>
      </w:r>
      <w:r w:rsidR="006A28AB" w:rsidRPr="00A86637">
        <w:t xml:space="preserve"> + AB</w:t>
      </w:r>
      <w:r w:rsidR="00896FB1" w:rsidRPr="00A86637">
        <w:t>R</w:t>
      </w:r>
      <w:r w:rsidR="00A86637" w:rsidRPr="00A86637">
        <w:rPr>
          <w:vertAlign w:val="subscript"/>
        </w:rPr>
        <w:t>PROM</w:t>
      </w:r>
      <w:r w:rsidR="00896FB1" w:rsidRPr="00A86637">
        <w:t xml:space="preserve"> + MAY</w:t>
      </w:r>
      <w:r w:rsidR="00A86637">
        <w:rPr>
          <w:vertAlign w:val="subscript"/>
        </w:rPr>
        <w:t>PROM</w:t>
      </w:r>
      <w:r w:rsidR="00896FB1" w:rsidRPr="00A86637">
        <w:t xml:space="preserve"> + JUN</w:t>
      </w:r>
      <w:r w:rsidR="00A86637">
        <w:rPr>
          <w:vertAlign w:val="subscript"/>
        </w:rPr>
        <w:t>PROM</w:t>
      </w:r>
      <w:r w:rsidR="00896FB1" w:rsidRPr="00A86637">
        <w:t xml:space="preserve"> + JUL</w:t>
      </w:r>
      <w:r w:rsidR="00A86637">
        <w:rPr>
          <w:vertAlign w:val="subscript"/>
        </w:rPr>
        <w:t>PROM</w:t>
      </w:r>
      <w:r w:rsidR="006A28AB" w:rsidRPr="00A86637">
        <w:t xml:space="preserve"> + A</w:t>
      </w:r>
      <w:r w:rsidR="00896FB1" w:rsidRPr="00A86637">
        <w:t>G</w:t>
      </w:r>
      <w:r w:rsidR="006A28AB" w:rsidRPr="00A86637">
        <w:t>O</w:t>
      </w:r>
      <w:r w:rsidR="00A86637">
        <w:rPr>
          <w:vertAlign w:val="subscript"/>
        </w:rPr>
        <w:t>PROM</w:t>
      </w:r>
      <w:r w:rsidR="00896FB1" w:rsidRPr="00A86637">
        <w:t xml:space="preserve"> + SEP</w:t>
      </w:r>
      <w:r w:rsidR="00A86637">
        <w:rPr>
          <w:vertAlign w:val="subscript"/>
        </w:rPr>
        <w:t>PROM</w:t>
      </w:r>
      <w:r w:rsidR="00896FB1" w:rsidRPr="00A86637">
        <w:t xml:space="preserve"> + OCT</w:t>
      </w:r>
      <w:r w:rsidR="00A86637">
        <w:rPr>
          <w:vertAlign w:val="subscript"/>
        </w:rPr>
        <w:t>PROM</w:t>
      </w:r>
      <w:r w:rsidR="00896FB1" w:rsidRPr="00A86637">
        <w:t xml:space="preserve"> + NOV</w:t>
      </w:r>
      <w:r w:rsidR="00A86637">
        <w:rPr>
          <w:vertAlign w:val="subscript"/>
        </w:rPr>
        <w:t>PROM</w:t>
      </w:r>
      <w:r w:rsidR="006A28AB" w:rsidRPr="00A86637">
        <w:t xml:space="preserve"> + DI</w:t>
      </w:r>
      <w:r w:rsidR="00896FB1" w:rsidRPr="00A86637">
        <w:t>C</w:t>
      </w:r>
      <w:r w:rsidR="00A86637">
        <w:rPr>
          <w:vertAlign w:val="subscript"/>
        </w:rPr>
        <w:t>PROM</w:t>
      </w:r>
      <w:r w:rsidR="001C3F27" w:rsidRPr="00A86637">
        <w:t>)/12</w:t>
      </w:r>
      <w:r w:rsidR="00896FB1" w:rsidRPr="00A86637">
        <w:t xml:space="preserve"> </w:t>
      </w:r>
    </w:p>
    <w:p w:rsidR="00896FB1" w:rsidRPr="00F361A9" w:rsidRDefault="00925B21" w:rsidP="00261106">
      <w:pPr>
        <w:pStyle w:val="Prrafodelista"/>
        <w:numPr>
          <w:ilvl w:val="0"/>
          <w:numId w:val="3"/>
        </w:numPr>
        <w:spacing w:after="120" w:line="240" w:lineRule="auto"/>
        <w:rPr>
          <w:lang w:val="es-GT"/>
        </w:rPr>
      </w:pPr>
      <w:r>
        <w:rPr>
          <w:lang w:val="es-GT"/>
        </w:rPr>
        <w:t xml:space="preserve">Divida el promedio mensual por el promedio total  </w:t>
      </w:r>
    </w:p>
    <w:p w:rsidR="00896FB1" w:rsidRPr="00291289" w:rsidRDefault="00896FB1" w:rsidP="00291289">
      <w:pPr>
        <w:spacing w:after="0" w:line="240" w:lineRule="auto"/>
        <w:ind w:left="720"/>
      </w:pPr>
      <w:r w:rsidRPr="00291289">
        <w:t>I</w:t>
      </w:r>
      <w:r w:rsidR="006A28AB">
        <w:t>E</w:t>
      </w:r>
      <w:r w:rsidR="006A28AB">
        <w:rPr>
          <w:vertAlign w:val="subscript"/>
        </w:rPr>
        <w:t>ENE</w:t>
      </w:r>
      <w:r w:rsidR="006A28AB">
        <w:t xml:space="preserve"> = E</w:t>
      </w:r>
      <w:r w:rsidRPr="00291289">
        <w:t>N</w:t>
      </w:r>
      <w:r w:rsidR="006A28AB">
        <w:t>E</w:t>
      </w:r>
      <w:r w:rsidR="006A28AB">
        <w:rPr>
          <w:vertAlign w:val="subscript"/>
        </w:rPr>
        <w:t>PROM</w:t>
      </w:r>
      <w:r w:rsidRPr="00291289">
        <w:rPr>
          <w:vertAlign w:val="subscript"/>
        </w:rPr>
        <w:t xml:space="preserve"> </w:t>
      </w:r>
      <w:r w:rsidRPr="00291289">
        <w:t xml:space="preserve">/ </w:t>
      </w:r>
      <w:r w:rsidR="00925B21">
        <w:t xml:space="preserve">PROMEDIO TOTAL  </w:t>
      </w:r>
    </w:p>
    <w:p w:rsidR="00896FB1" w:rsidRPr="00291289" w:rsidRDefault="00896FB1" w:rsidP="00261106">
      <w:pPr>
        <w:spacing w:after="120" w:line="240" w:lineRule="auto"/>
        <w:ind w:left="720"/>
      </w:pPr>
      <w:r w:rsidRPr="00291289">
        <w:t>I</w:t>
      </w:r>
      <w:r w:rsidR="006A28AB">
        <w:t>E</w:t>
      </w:r>
      <w:r w:rsidRPr="00291289">
        <w:rPr>
          <w:vertAlign w:val="subscript"/>
        </w:rPr>
        <w:t>FEB</w:t>
      </w:r>
      <w:r w:rsidRPr="00291289">
        <w:t xml:space="preserve"> = FEB</w:t>
      </w:r>
      <w:r w:rsidR="006A28AB">
        <w:rPr>
          <w:vertAlign w:val="subscript"/>
        </w:rPr>
        <w:t>PROM</w:t>
      </w:r>
      <w:r w:rsidRPr="00291289">
        <w:rPr>
          <w:vertAlign w:val="subscript"/>
        </w:rPr>
        <w:t xml:space="preserve"> </w:t>
      </w:r>
      <w:r w:rsidRPr="00291289">
        <w:t xml:space="preserve">/ </w:t>
      </w:r>
      <w:r w:rsidR="00925B21">
        <w:t xml:space="preserve">PROMEDIO TOTAL </w:t>
      </w:r>
    </w:p>
    <w:p w:rsidR="00896FB1" w:rsidRPr="00F361A9" w:rsidRDefault="00925B21" w:rsidP="00261106">
      <w:pPr>
        <w:pStyle w:val="Prrafodelista"/>
        <w:numPr>
          <w:ilvl w:val="0"/>
          <w:numId w:val="3"/>
        </w:numPr>
        <w:spacing w:after="120" w:line="240" w:lineRule="auto"/>
        <w:rPr>
          <w:lang w:val="es-GT"/>
        </w:rPr>
      </w:pPr>
      <w:r>
        <w:rPr>
          <w:lang w:val="es-GT"/>
        </w:rPr>
        <w:t>Haga un gráfica de los índices estacionales mensuales comparado con los meses</w:t>
      </w:r>
      <w:r w:rsidR="006A28AB">
        <w:rPr>
          <w:lang w:val="es-GT"/>
        </w:rPr>
        <w:t>.</w:t>
      </w:r>
      <w:r>
        <w:rPr>
          <w:lang w:val="es-GT"/>
        </w:rPr>
        <w:t xml:space="preserve">  </w:t>
      </w:r>
    </w:p>
    <w:tbl>
      <w:tblPr>
        <w:tblStyle w:val="Tablaconcuadrcula"/>
        <w:tblW w:w="9507" w:type="dxa"/>
        <w:tblLook w:val="04A0" w:firstRow="1" w:lastRow="0" w:firstColumn="1" w:lastColumn="0" w:noHBand="0" w:noVBand="1"/>
      </w:tblPr>
      <w:tblGrid>
        <w:gridCol w:w="1029"/>
        <w:gridCol w:w="629"/>
        <w:gridCol w:w="629"/>
        <w:gridCol w:w="629"/>
        <w:gridCol w:w="630"/>
        <w:gridCol w:w="633"/>
        <w:gridCol w:w="630"/>
        <w:gridCol w:w="630"/>
        <w:gridCol w:w="630"/>
        <w:gridCol w:w="630"/>
        <w:gridCol w:w="630"/>
        <w:gridCol w:w="630"/>
        <w:gridCol w:w="630"/>
        <w:gridCol w:w="918"/>
      </w:tblGrid>
      <w:tr w:rsidR="00CE4A5D" w:rsidRPr="001C3F27" w:rsidTr="00CE4A5D">
        <w:tc>
          <w:tcPr>
            <w:tcW w:w="723" w:type="dxa"/>
          </w:tcPr>
          <w:p w:rsidR="00C469D1" w:rsidRPr="001D09EB" w:rsidRDefault="00C469D1" w:rsidP="00291289">
            <w:pPr>
              <w:rPr>
                <w:sz w:val="20"/>
                <w:szCs w:val="20"/>
                <w:lang w:val="es-GT"/>
              </w:rPr>
            </w:pPr>
          </w:p>
        </w:tc>
        <w:tc>
          <w:tcPr>
            <w:tcW w:w="648" w:type="dxa"/>
          </w:tcPr>
          <w:p w:rsidR="00C469D1" w:rsidRPr="00925B21" w:rsidRDefault="00925B21" w:rsidP="00291289">
            <w:pPr>
              <w:rPr>
                <w:b/>
                <w:sz w:val="20"/>
                <w:szCs w:val="20"/>
                <w:lang w:val="es-GT"/>
              </w:rPr>
            </w:pPr>
            <w:r w:rsidRPr="00925B21">
              <w:rPr>
                <w:b/>
                <w:sz w:val="20"/>
                <w:szCs w:val="20"/>
                <w:lang w:val="es-GT"/>
              </w:rPr>
              <w:t>Ene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rPr>
                <w:b/>
                <w:sz w:val="20"/>
                <w:szCs w:val="20"/>
              </w:rPr>
            </w:pPr>
            <w:r w:rsidRPr="001C3F27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rPr>
                <w:b/>
                <w:sz w:val="20"/>
                <w:szCs w:val="20"/>
              </w:rPr>
            </w:pPr>
            <w:r w:rsidRPr="001C3F27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648" w:type="dxa"/>
          </w:tcPr>
          <w:p w:rsidR="00C469D1" w:rsidRPr="001C3F27" w:rsidRDefault="00925B21" w:rsidP="002912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</w:t>
            </w:r>
            <w:r w:rsidR="00C469D1" w:rsidRPr="001C3F27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rPr>
                <w:b/>
                <w:sz w:val="20"/>
                <w:szCs w:val="20"/>
              </w:rPr>
            </w:pPr>
            <w:r w:rsidRPr="001C3F27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rPr>
                <w:b/>
                <w:sz w:val="20"/>
                <w:szCs w:val="20"/>
              </w:rPr>
            </w:pPr>
            <w:r w:rsidRPr="001C3F27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rPr>
                <w:b/>
                <w:sz w:val="20"/>
                <w:szCs w:val="20"/>
              </w:rPr>
            </w:pPr>
            <w:r w:rsidRPr="001C3F27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648" w:type="dxa"/>
          </w:tcPr>
          <w:p w:rsidR="00C469D1" w:rsidRPr="001C3F27" w:rsidRDefault="00C469D1" w:rsidP="00925B21">
            <w:pPr>
              <w:rPr>
                <w:b/>
                <w:sz w:val="20"/>
                <w:szCs w:val="20"/>
              </w:rPr>
            </w:pPr>
            <w:r w:rsidRPr="001C3F27">
              <w:rPr>
                <w:b/>
                <w:sz w:val="20"/>
                <w:szCs w:val="20"/>
              </w:rPr>
              <w:t>Ag</w:t>
            </w:r>
            <w:r w:rsidR="00925B21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rPr>
                <w:b/>
                <w:sz w:val="20"/>
                <w:szCs w:val="20"/>
              </w:rPr>
            </w:pPr>
            <w:r w:rsidRPr="001C3F27">
              <w:rPr>
                <w:b/>
                <w:sz w:val="20"/>
                <w:szCs w:val="20"/>
              </w:rPr>
              <w:t>Sep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rPr>
                <w:b/>
                <w:sz w:val="20"/>
                <w:szCs w:val="20"/>
              </w:rPr>
            </w:pPr>
            <w:r w:rsidRPr="001C3F27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rPr>
                <w:b/>
                <w:sz w:val="20"/>
                <w:szCs w:val="20"/>
              </w:rPr>
            </w:pPr>
            <w:r w:rsidRPr="001C3F27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648" w:type="dxa"/>
          </w:tcPr>
          <w:p w:rsidR="00C469D1" w:rsidRPr="001C3F27" w:rsidRDefault="00925B21" w:rsidP="002912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</w:t>
            </w:r>
            <w:r w:rsidR="00C469D1" w:rsidRPr="001C3F27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008" w:type="dxa"/>
          </w:tcPr>
          <w:p w:rsidR="00C469D1" w:rsidRPr="001C3F27" w:rsidRDefault="00925B21" w:rsidP="00925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 </w:t>
            </w:r>
          </w:p>
        </w:tc>
      </w:tr>
      <w:tr w:rsidR="00CE4A5D" w:rsidRPr="001C3F27" w:rsidTr="00CE4A5D">
        <w:tc>
          <w:tcPr>
            <w:tcW w:w="723" w:type="dxa"/>
          </w:tcPr>
          <w:p w:rsidR="00C469D1" w:rsidRPr="001C3F27" w:rsidRDefault="00C469D1" w:rsidP="00291289">
            <w:pPr>
              <w:rPr>
                <w:b/>
                <w:sz w:val="20"/>
                <w:szCs w:val="20"/>
              </w:rPr>
            </w:pPr>
            <w:r w:rsidRPr="001C3F27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83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110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96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72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53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44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48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47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47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59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70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81</w:t>
            </w:r>
          </w:p>
        </w:tc>
        <w:tc>
          <w:tcPr>
            <w:tcW w:w="100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</w:p>
        </w:tc>
      </w:tr>
      <w:tr w:rsidR="00CE4A5D" w:rsidRPr="001C3F27" w:rsidTr="00CE4A5D">
        <w:tc>
          <w:tcPr>
            <w:tcW w:w="723" w:type="dxa"/>
          </w:tcPr>
          <w:p w:rsidR="00C469D1" w:rsidRPr="001C3F27" w:rsidRDefault="00C469D1" w:rsidP="00291289">
            <w:pPr>
              <w:rPr>
                <w:b/>
                <w:sz w:val="20"/>
                <w:szCs w:val="20"/>
              </w:rPr>
            </w:pPr>
            <w:r w:rsidRPr="001C3F27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108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119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120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104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88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94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102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121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143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152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218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245</w:t>
            </w:r>
          </w:p>
        </w:tc>
        <w:tc>
          <w:tcPr>
            <w:tcW w:w="100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</w:p>
        </w:tc>
      </w:tr>
      <w:tr w:rsidR="00CE4A5D" w:rsidRPr="001C3F27" w:rsidTr="00CE4A5D">
        <w:tc>
          <w:tcPr>
            <w:tcW w:w="723" w:type="dxa"/>
          </w:tcPr>
          <w:p w:rsidR="00C469D1" w:rsidRPr="001C3F27" w:rsidRDefault="00C469D1" w:rsidP="00291289">
            <w:pPr>
              <w:rPr>
                <w:b/>
                <w:sz w:val="20"/>
                <w:szCs w:val="20"/>
              </w:rPr>
            </w:pPr>
            <w:r w:rsidRPr="001C3F27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285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279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308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149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100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79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77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83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89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85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85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94</w:t>
            </w:r>
          </w:p>
        </w:tc>
        <w:tc>
          <w:tcPr>
            <w:tcW w:w="100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</w:p>
        </w:tc>
      </w:tr>
      <w:tr w:rsidR="00CE4A5D" w:rsidRPr="001C3F27" w:rsidTr="00CE4A5D">
        <w:tc>
          <w:tcPr>
            <w:tcW w:w="723" w:type="dxa"/>
          </w:tcPr>
          <w:p w:rsidR="00C469D1" w:rsidRPr="001C3F27" w:rsidRDefault="00C469D1" w:rsidP="00291289">
            <w:pPr>
              <w:rPr>
                <w:b/>
                <w:sz w:val="20"/>
                <w:szCs w:val="20"/>
              </w:rPr>
            </w:pPr>
            <w:r w:rsidRPr="001C3F27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95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104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112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102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77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77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79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84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124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147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180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223</w:t>
            </w:r>
          </w:p>
        </w:tc>
        <w:tc>
          <w:tcPr>
            <w:tcW w:w="100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</w:p>
        </w:tc>
      </w:tr>
      <w:tr w:rsidR="00CE4A5D" w:rsidRPr="001C3F27" w:rsidTr="00CE4A5D">
        <w:tc>
          <w:tcPr>
            <w:tcW w:w="723" w:type="dxa"/>
          </w:tcPr>
          <w:p w:rsidR="00C469D1" w:rsidRPr="001C3F27" w:rsidRDefault="00C469D1" w:rsidP="00291289">
            <w:pPr>
              <w:rPr>
                <w:b/>
                <w:sz w:val="20"/>
                <w:szCs w:val="20"/>
              </w:rPr>
            </w:pPr>
            <w:r w:rsidRPr="001C3F27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296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288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273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193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180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229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250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268</w:t>
            </w: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</w:p>
        </w:tc>
      </w:tr>
      <w:tr w:rsidR="00CE4A5D" w:rsidRPr="001C3F27" w:rsidTr="00CE4A5D">
        <w:tc>
          <w:tcPr>
            <w:tcW w:w="723" w:type="dxa"/>
          </w:tcPr>
          <w:p w:rsidR="00C469D1" w:rsidRPr="00925B21" w:rsidRDefault="00925B21" w:rsidP="00925B21">
            <w:pPr>
              <w:rPr>
                <w:b/>
                <w:sz w:val="20"/>
                <w:szCs w:val="20"/>
                <w:lang w:val="es-GT"/>
              </w:rPr>
            </w:pPr>
            <w:r w:rsidRPr="00925B21">
              <w:rPr>
                <w:b/>
                <w:sz w:val="20"/>
                <w:szCs w:val="20"/>
                <w:lang w:val="es-GT"/>
              </w:rPr>
              <w:t xml:space="preserve">Promedio </w:t>
            </w:r>
          </w:p>
        </w:tc>
        <w:tc>
          <w:tcPr>
            <w:tcW w:w="648" w:type="dxa"/>
          </w:tcPr>
          <w:p w:rsidR="00C469D1" w:rsidRPr="001C3F27" w:rsidRDefault="00CF3B05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174</w:t>
            </w:r>
          </w:p>
        </w:tc>
        <w:tc>
          <w:tcPr>
            <w:tcW w:w="648" w:type="dxa"/>
          </w:tcPr>
          <w:p w:rsidR="00C469D1" w:rsidRPr="001C3F27" w:rsidRDefault="00CF3B05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180</w:t>
            </w:r>
          </w:p>
        </w:tc>
        <w:tc>
          <w:tcPr>
            <w:tcW w:w="648" w:type="dxa"/>
          </w:tcPr>
          <w:p w:rsidR="00C469D1" w:rsidRPr="001C3F27" w:rsidRDefault="00CF3B05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182</w:t>
            </w:r>
          </w:p>
        </w:tc>
        <w:tc>
          <w:tcPr>
            <w:tcW w:w="648" w:type="dxa"/>
          </w:tcPr>
          <w:p w:rsidR="00C469D1" w:rsidRPr="001C3F27" w:rsidRDefault="00CF3B05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124</w:t>
            </w:r>
          </w:p>
        </w:tc>
        <w:tc>
          <w:tcPr>
            <w:tcW w:w="648" w:type="dxa"/>
          </w:tcPr>
          <w:p w:rsidR="00C469D1" w:rsidRPr="001C3F27" w:rsidRDefault="00CF3B05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100</w:t>
            </w:r>
          </w:p>
        </w:tc>
        <w:tc>
          <w:tcPr>
            <w:tcW w:w="648" w:type="dxa"/>
          </w:tcPr>
          <w:p w:rsidR="00C469D1" w:rsidRPr="001C3F27" w:rsidRDefault="00CF3B05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105</w:t>
            </w:r>
          </w:p>
        </w:tc>
        <w:tc>
          <w:tcPr>
            <w:tcW w:w="648" w:type="dxa"/>
          </w:tcPr>
          <w:p w:rsidR="00C469D1" w:rsidRPr="001C3F27" w:rsidRDefault="00CF3B05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111</w:t>
            </w:r>
          </w:p>
        </w:tc>
        <w:tc>
          <w:tcPr>
            <w:tcW w:w="648" w:type="dxa"/>
          </w:tcPr>
          <w:p w:rsidR="00C469D1" w:rsidRPr="001C3F27" w:rsidRDefault="00CF3B05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121</w:t>
            </w:r>
          </w:p>
        </w:tc>
        <w:tc>
          <w:tcPr>
            <w:tcW w:w="648" w:type="dxa"/>
          </w:tcPr>
          <w:p w:rsidR="00C469D1" w:rsidRPr="001C3F27" w:rsidRDefault="00CF3B05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100</w:t>
            </w:r>
          </w:p>
        </w:tc>
        <w:tc>
          <w:tcPr>
            <w:tcW w:w="648" w:type="dxa"/>
          </w:tcPr>
          <w:p w:rsidR="00C469D1" w:rsidRPr="001C3F27" w:rsidRDefault="00CF3B05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111</w:t>
            </w:r>
          </w:p>
        </w:tc>
        <w:tc>
          <w:tcPr>
            <w:tcW w:w="648" w:type="dxa"/>
          </w:tcPr>
          <w:p w:rsidR="00C469D1" w:rsidRPr="001C3F27" w:rsidRDefault="00CF3B05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138</w:t>
            </w:r>
          </w:p>
        </w:tc>
        <w:tc>
          <w:tcPr>
            <w:tcW w:w="648" w:type="dxa"/>
          </w:tcPr>
          <w:p w:rsidR="00C469D1" w:rsidRPr="001C3F27" w:rsidRDefault="00CF3B05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161</w:t>
            </w:r>
          </w:p>
        </w:tc>
        <w:tc>
          <w:tcPr>
            <w:tcW w:w="1008" w:type="dxa"/>
          </w:tcPr>
          <w:p w:rsidR="00C469D1" w:rsidRPr="001C3F27" w:rsidRDefault="00CF3B05" w:rsidP="00291289">
            <w:pPr>
              <w:jc w:val="center"/>
              <w:rPr>
                <w:sz w:val="20"/>
                <w:szCs w:val="20"/>
              </w:rPr>
            </w:pPr>
            <w:r w:rsidRPr="001C3F27">
              <w:rPr>
                <w:sz w:val="20"/>
                <w:szCs w:val="20"/>
              </w:rPr>
              <w:t>134</w:t>
            </w:r>
          </w:p>
        </w:tc>
      </w:tr>
      <w:tr w:rsidR="00CE4A5D" w:rsidRPr="001C3F27" w:rsidTr="00CE4A5D">
        <w:tc>
          <w:tcPr>
            <w:tcW w:w="723" w:type="dxa"/>
          </w:tcPr>
          <w:p w:rsidR="00C469D1" w:rsidRPr="00925B21" w:rsidRDefault="00925B21" w:rsidP="00291289">
            <w:pPr>
              <w:rPr>
                <w:b/>
                <w:sz w:val="20"/>
                <w:szCs w:val="20"/>
                <w:lang w:val="es-GT"/>
              </w:rPr>
            </w:pPr>
            <w:r w:rsidRPr="00925B21">
              <w:rPr>
                <w:b/>
                <w:sz w:val="20"/>
                <w:szCs w:val="20"/>
                <w:lang w:val="es-GT"/>
              </w:rPr>
              <w:t>Índice</w:t>
            </w:r>
          </w:p>
        </w:tc>
        <w:tc>
          <w:tcPr>
            <w:tcW w:w="648" w:type="dxa"/>
          </w:tcPr>
          <w:p w:rsidR="00C469D1" w:rsidRPr="001C3F27" w:rsidRDefault="00CF3B05" w:rsidP="00291289">
            <w:pPr>
              <w:jc w:val="center"/>
              <w:rPr>
                <w:b/>
                <w:sz w:val="20"/>
                <w:szCs w:val="20"/>
              </w:rPr>
            </w:pPr>
            <w:r w:rsidRPr="001C3F27">
              <w:rPr>
                <w:b/>
                <w:sz w:val="20"/>
                <w:szCs w:val="20"/>
              </w:rPr>
              <w:t>1.30</w:t>
            </w:r>
          </w:p>
        </w:tc>
        <w:tc>
          <w:tcPr>
            <w:tcW w:w="648" w:type="dxa"/>
          </w:tcPr>
          <w:p w:rsidR="00C469D1" w:rsidRPr="001C3F27" w:rsidRDefault="00CF3B05" w:rsidP="00291289">
            <w:pPr>
              <w:jc w:val="center"/>
              <w:rPr>
                <w:b/>
                <w:sz w:val="20"/>
                <w:szCs w:val="20"/>
              </w:rPr>
            </w:pPr>
            <w:r w:rsidRPr="001C3F27">
              <w:rPr>
                <w:b/>
                <w:sz w:val="20"/>
                <w:szCs w:val="20"/>
              </w:rPr>
              <w:t>1.34</w:t>
            </w:r>
          </w:p>
        </w:tc>
        <w:tc>
          <w:tcPr>
            <w:tcW w:w="648" w:type="dxa"/>
          </w:tcPr>
          <w:p w:rsidR="00C469D1" w:rsidRPr="001C3F27" w:rsidRDefault="00CF3B05" w:rsidP="00291289">
            <w:pPr>
              <w:jc w:val="center"/>
              <w:rPr>
                <w:b/>
                <w:sz w:val="20"/>
                <w:szCs w:val="20"/>
              </w:rPr>
            </w:pPr>
            <w:r w:rsidRPr="001C3F27">
              <w:rPr>
                <w:b/>
                <w:sz w:val="20"/>
                <w:szCs w:val="20"/>
              </w:rPr>
              <w:t>1.36</w:t>
            </w:r>
          </w:p>
        </w:tc>
        <w:tc>
          <w:tcPr>
            <w:tcW w:w="648" w:type="dxa"/>
          </w:tcPr>
          <w:p w:rsidR="00C469D1" w:rsidRPr="001C3F27" w:rsidRDefault="00CF3B05" w:rsidP="00291289">
            <w:pPr>
              <w:jc w:val="center"/>
              <w:rPr>
                <w:b/>
                <w:sz w:val="20"/>
                <w:szCs w:val="20"/>
              </w:rPr>
            </w:pPr>
            <w:r w:rsidRPr="001C3F27">
              <w:rPr>
                <w:b/>
                <w:sz w:val="20"/>
                <w:szCs w:val="20"/>
              </w:rPr>
              <w:t>0.93</w:t>
            </w:r>
          </w:p>
        </w:tc>
        <w:tc>
          <w:tcPr>
            <w:tcW w:w="648" w:type="dxa"/>
          </w:tcPr>
          <w:p w:rsidR="00C469D1" w:rsidRPr="001C3F27" w:rsidRDefault="00CF3B05" w:rsidP="00291289">
            <w:pPr>
              <w:jc w:val="center"/>
              <w:rPr>
                <w:b/>
                <w:sz w:val="20"/>
                <w:szCs w:val="20"/>
              </w:rPr>
            </w:pPr>
            <w:r w:rsidRPr="001C3F27">
              <w:rPr>
                <w:b/>
                <w:sz w:val="20"/>
                <w:szCs w:val="20"/>
              </w:rPr>
              <w:t>0.74</w:t>
            </w:r>
          </w:p>
        </w:tc>
        <w:tc>
          <w:tcPr>
            <w:tcW w:w="648" w:type="dxa"/>
          </w:tcPr>
          <w:p w:rsidR="00C469D1" w:rsidRPr="001C3F27" w:rsidRDefault="00CF3B05" w:rsidP="00291289">
            <w:pPr>
              <w:jc w:val="center"/>
              <w:rPr>
                <w:b/>
                <w:sz w:val="20"/>
                <w:szCs w:val="20"/>
              </w:rPr>
            </w:pPr>
            <w:r w:rsidRPr="001C3F27">
              <w:rPr>
                <w:b/>
                <w:sz w:val="20"/>
                <w:szCs w:val="20"/>
              </w:rPr>
              <w:t>0.78</w:t>
            </w:r>
          </w:p>
        </w:tc>
        <w:tc>
          <w:tcPr>
            <w:tcW w:w="648" w:type="dxa"/>
          </w:tcPr>
          <w:p w:rsidR="00C469D1" w:rsidRPr="001C3F27" w:rsidRDefault="00CF3B05" w:rsidP="00291289">
            <w:pPr>
              <w:jc w:val="center"/>
              <w:rPr>
                <w:b/>
                <w:sz w:val="20"/>
                <w:szCs w:val="20"/>
              </w:rPr>
            </w:pPr>
            <w:r w:rsidRPr="001C3F27">
              <w:rPr>
                <w:b/>
                <w:sz w:val="20"/>
                <w:szCs w:val="20"/>
              </w:rPr>
              <w:t>0.83</w:t>
            </w:r>
          </w:p>
        </w:tc>
        <w:tc>
          <w:tcPr>
            <w:tcW w:w="648" w:type="dxa"/>
          </w:tcPr>
          <w:p w:rsidR="00C469D1" w:rsidRPr="001C3F27" w:rsidRDefault="00CF3B05" w:rsidP="00291289">
            <w:pPr>
              <w:jc w:val="center"/>
              <w:rPr>
                <w:b/>
                <w:sz w:val="20"/>
                <w:szCs w:val="20"/>
              </w:rPr>
            </w:pPr>
            <w:r w:rsidRPr="001C3F27">
              <w:rPr>
                <w:b/>
                <w:sz w:val="20"/>
                <w:szCs w:val="20"/>
              </w:rPr>
              <w:t>0.90</w:t>
            </w:r>
          </w:p>
        </w:tc>
        <w:tc>
          <w:tcPr>
            <w:tcW w:w="648" w:type="dxa"/>
          </w:tcPr>
          <w:p w:rsidR="00C469D1" w:rsidRPr="001C3F27" w:rsidRDefault="00CF3B05" w:rsidP="00291289">
            <w:pPr>
              <w:jc w:val="center"/>
              <w:rPr>
                <w:b/>
                <w:sz w:val="20"/>
                <w:szCs w:val="20"/>
              </w:rPr>
            </w:pPr>
            <w:r w:rsidRPr="001C3F27">
              <w:rPr>
                <w:b/>
                <w:sz w:val="20"/>
                <w:szCs w:val="20"/>
              </w:rPr>
              <w:t>0.75</w:t>
            </w:r>
          </w:p>
        </w:tc>
        <w:tc>
          <w:tcPr>
            <w:tcW w:w="648" w:type="dxa"/>
          </w:tcPr>
          <w:p w:rsidR="00C469D1" w:rsidRPr="001C3F27" w:rsidRDefault="00CF3B05" w:rsidP="00291289">
            <w:pPr>
              <w:jc w:val="center"/>
              <w:rPr>
                <w:b/>
                <w:sz w:val="20"/>
                <w:szCs w:val="20"/>
              </w:rPr>
            </w:pPr>
            <w:r w:rsidRPr="001C3F27">
              <w:rPr>
                <w:b/>
                <w:sz w:val="20"/>
                <w:szCs w:val="20"/>
              </w:rPr>
              <w:t>0.83</w:t>
            </w:r>
          </w:p>
        </w:tc>
        <w:tc>
          <w:tcPr>
            <w:tcW w:w="648" w:type="dxa"/>
          </w:tcPr>
          <w:p w:rsidR="00C469D1" w:rsidRPr="001C3F27" w:rsidRDefault="00CF3B05" w:rsidP="00291289">
            <w:pPr>
              <w:jc w:val="center"/>
              <w:rPr>
                <w:b/>
                <w:sz w:val="20"/>
                <w:szCs w:val="20"/>
              </w:rPr>
            </w:pPr>
            <w:r w:rsidRPr="001C3F27">
              <w:rPr>
                <w:b/>
                <w:sz w:val="20"/>
                <w:szCs w:val="20"/>
              </w:rPr>
              <w:t>1.03</w:t>
            </w:r>
          </w:p>
        </w:tc>
        <w:tc>
          <w:tcPr>
            <w:tcW w:w="648" w:type="dxa"/>
          </w:tcPr>
          <w:p w:rsidR="00C469D1" w:rsidRPr="001C3F27" w:rsidRDefault="00CF3B05" w:rsidP="00291289">
            <w:pPr>
              <w:jc w:val="center"/>
              <w:rPr>
                <w:b/>
                <w:sz w:val="20"/>
                <w:szCs w:val="20"/>
              </w:rPr>
            </w:pPr>
            <w:r w:rsidRPr="001C3F27">
              <w:rPr>
                <w:b/>
                <w:sz w:val="20"/>
                <w:szCs w:val="20"/>
              </w:rPr>
              <w:t>1.20</w:t>
            </w:r>
          </w:p>
        </w:tc>
        <w:tc>
          <w:tcPr>
            <w:tcW w:w="1008" w:type="dxa"/>
          </w:tcPr>
          <w:p w:rsidR="00C469D1" w:rsidRPr="001C3F27" w:rsidRDefault="00C469D1" w:rsidP="002912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6FB1" w:rsidRPr="00291289" w:rsidRDefault="001C3F27" w:rsidP="00261106">
      <w:pPr>
        <w:spacing w:after="120" w:line="240" w:lineRule="auto"/>
      </w:pPr>
      <w:r w:rsidRPr="00291289">
        <w:rPr>
          <w:noProof/>
          <w:lang w:val="es-GT" w:eastAsia="es-G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176397</wp:posOffset>
            </wp:positionV>
            <wp:extent cx="3357245" cy="1881505"/>
            <wp:effectExtent l="19050" t="0" r="14605" b="4445"/>
            <wp:wrapTight wrapText="bothSides">
              <wp:wrapPolygon edited="0">
                <wp:start x="-123" y="0"/>
                <wp:lineTo x="-123" y="21651"/>
                <wp:lineTo x="21694" y="21651"/>
                <wp:lineTo x="21694" y="0"/>
                <wp:lineTo x="-123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896FB1" w:rsidRPr="00F361A9" w:rsidRDefault="00925B21" w:rsidP="001D09EB">
      <w:pPr>
        <w:spacing w:after="120" w:line="240" w:lineRule="auto"/>
        <w:ind w:left="720" w:right="-129"/>
        <w:rPr>
          <w:lang w:val="es-GT"/>
        </w:rPr>
      </w:pPr>
      <w:r>
        <w:rPr>
          <w:b/>
          <w:lang w:val="es-GT"/>
        </w:rPr>
        <w:t>Interpretación</w:t>
      </w:r>
      <w:r w:rsidR="00CF3B05" w:rsidRPr="00F361A9">
        <w:rPr>
          <w:b/>
          <w:lang w:val="es-GT"/>
        </w:rPr>
        <w:t>:</w:t>
      </w:r>
      <w:r w:rsidR="00291289" w:rsidRPr="00F361A9">
        <w:rPr>
          <w:b/>
          <w:lang w:val="es-GT"/>
        </w:rPr>
        <w:t xml:space="preserve"> </w:t>
      </w:r>
      <w:r w:rsidRPr="00925B21">
        <w:rPr>
          <w:lang w:val="es-GT"/>
        </w:rPr>
        <w:t>Los</w:t>
      </w:r>
      <w:r>
        <w:rPr>
          <w:b/>
          <w:lang w:val="es-GT"/>
        </w:rPr>
        <w:t xml:space="preserve"> </w:t>
      </w:r>
      <w:r w:rsidRPr="00925B21">
        <w:rPr>
          <w:lang w:val="es-GT"/>
        </w:rPr>
        <w:t xml:space="preserve">precios para </w:t>
      </w:r>
      <w:r>
        <w:rPr>
          <w:lang w:val="es-GT"/>
        </w:rPr>
        <w:t xml:space="preserve">este producto siguen un patrón estacional en el que los precios </w:t>
      </w:r>
      <w:r w:rsidR="006A28AB">
        <w:rPr>
          <w:lang w:val="es-GT"/>
        </w:rPr>
        <w:t xml:space="preserve">están </w:t>
      </w:r>
      <w:r>
        <w:rPr>
          <w:lang w:val="es-GT"/>
        </w:rPr>
        <w:t xml:space="preserve">altos al principio del año </w:t>
      </w:r>
      <w:r w:rsidR="00291289" w:rsidRPr="00F361A9">
        <w:rPr>
          <w:lang w:val="es-GT"/>
        </w:rPr>
        <w:t>(</w:t>
      </w:r>
      <w:r w:rsidR="006A7D26">
        <w:rPr>
          <w:lang w:val="es-GT"/>
        </w:rPr>
        <w:t xml:space="preserve">enero </w:t>
      </w:r>
      <w:r w:rsidR="00291289" w:rsidRPr="00F361A9">
        <w:rPr>
          <w:lang w:val="es-GT"/>
        </w:rPr>
        <w:t xml:space="preserve">– </w:t>
      </w:r>
      <w:r w:rsidR="006A7D26">
        <w:rPr>
          <w:lang w:val="es-GT"/>
        </w:rPr>
        <w:t>marzo) y luego bajan de marzo a mayo y se mantienen bajos hasta octubre cuando los precios empiezan a subir otra vez. Podemos inferir que el cultivo se empieza a cosechar a partir de marzo cuando los precios bajan</w:t>
      </w:r>
      <w:r w:rsidR="00A86637">
        <w:rPr>
          <w:lang w:val="es-GT"/>
        </w:rPr>
        <w:t>;</w:t>
      </w:r>
      <w:r w:rsidR="006A7D26">
        <w:rPr>
          <w:lang w:val="es-GT"/>
        </w:rPr>
        <w:t xml:space="preserve"> y las </w:t>
      </w:r>
      <w:r w:rsidR="006547C6">
        <w:rPr>
          <w:lang w:val="es-GT"/>
        </w:rPr>
        <w:t>existencias empiezan a escasear aproximadamente en s</w:t>
      </w:r>
      <w:r w:rsidR="00291289" w:rsidRPr="00F361A9">
        <w:rPr>
          <w:lang w:val="es-GT"/>
        </w:rPr>
        <w:t>ept</w:t>
      </w:r>
      <w:r w:rsidR="006547C6">
        <w:rPr>
          <w:lang w:val="es-GT"/>
        </w:rPr>
        <w:t>iembre y octubre</w:t>
      </w:r>
      <w:r w:rsidR="00291289" w:rsidRPr="00F361A9">
        <w:rPr>
          <w:lang w:val="es-GT"/>
        </w:rPr>
        <w:t xml:space="preserve">, </w:t>
      </w:r>
      <w:r w:rsidR="006547C6">
        <w:rPr>
          <w:lang w:val="es-GT"/>
        </w:rPr>
        <w:t xml:space="preserve">lo que </w:t>
      </w:r>
      <w:r w:rsidR="00291289" w:rsidRPr="00F361A9">
        <w:rPr>
          <w:lang w:val="es-GT"/>
        </w:rPr>
        <w:t>result</w:t>
      </w:r>
      <w:r w:rsidR="006547C6">
        <w:rPr>
          <w:lang w:val="es-GT"/>
        </w:rPr>
        <w:t xml:space="preserve">a en incrementos en el precio.  </w:t>
      </w:r>
    </w:p>
    <w:p w:rsidR="001C3F27" w:rsidRPr="001D09EB" w:rsidRDefault="00A86637" w:rsidP="001C3F27">
      <w:pPr>
        <w:spacing w:before="240" w:after="120" w:line="240" w:lineRule="auto"/>
        <w:rPr>
          <w:lang w:val="es-GT"/>
        </w:rPr>
      </w:pPr>
      <w:r>
        <w:rPr>
          <w:b/>
          <w:lang w:val="es-GT"/>
        </w:rPr>
        <w:t>¿</w:t>
      </w:r>
      <w:r w:rsidR="006547C6">
        <w:rPr>
          <w:b/>
          <w:lang w:val="es-GT"/>
        </w:rPr>
        <w:t>Cómo usarlo</w:t>
      </w:r>
      <w:r>
        <w:rPr>
          <w:b/>
          <w:lang w:val="es-GT"/>
        </w:rPr>
        <w:t>?</w:t>
      </w:r>
      <w:r w:rsidR="001C3F27" w:rsidRPr="00F361A9">
        <w:rPr>
          <w:b/>
          <w:lang w:val="es-GT"/>
        </w:rPr>
        <w:t xml:space="preserve"> </w:t>
      </w:r>
      <w:r w:rsidR="001C3F27" w:rsidRPr="00F361A9">
        <w:rPr>
          <w:lang w:val="es-GT"/>
        </w:rPr>
        <w:t xml:space="preserve">Compare </w:t>
      </w:r>
      <w:r w:rsidR="006547C6">
        <w:rPr>
          <w:lang w:val="es-GT"/>
        </w:rPr>
        <w:t xml:space="preserve">los precios semanales o mensuales más recientes del producto </w:t>
      </w:r>
      <w:r w:rsidR="006A28AB">
        <w:rPr>
          <w:lang w:val="es-GT"/>
        </w:rPr>
        <w:t xml:space="preserve">donde existen </w:t>
      </w:r>
      <w:r>
        <w:rPr>
          <w:lang w:val="es-GT"/>
        </w:rPr>
        <w:t>inquietude</w:t>
      </w:r>
      <w:r w:rsidR="006A28AB">
        <w:rPr>
          <w:lang w:val="es-GT"/>
        </w:rPr>
        <w:t>s sobre el índice estacional</w:t>
      </w:r>
      <w:r w:rsidR="001C3F27" w:rsidRPr="00F361A9">
        <w:rPr>
          <w:lang w:val="es-GT"/>
        </w:rPr>
        <w:t xml:space="preserve">. </w:t>
      </w:r>
      <w:r w:rsidR="006547C6">
        <w:rPr>
          <w:lang w:val="es-GT"/>
        </w:rPr>
        <w:t xml:space="preserve">Usando el ejemplo del índice de arriba, si usted ha empezado a notar </w:t>
      </w:r>
      <w:r w:rsidR="00292469">
        <w:rPr>
          <w:lang w:val="es-GT"/>
        </w:rPr>
        <w:t>que los precios aumentan de octubre a noviem</w:t>
      </w:r>
      <w:r w:rsidR="006A28AB">
        <w:rPr>
          <w:lang w:val="es-GT"/>
        </w:rPr>
        <w:t xml:space="preserve">bre y a diciembre, usted puede </w:t>
      </w:r>
      <w:r w:rsidR="00292469">
        <w:rPr>
          <w:lang w:val="es-GT"/>
        </w:rPr>
        <w:t xml:space="preserve">revisar el índice estacional y observar que normalmente </w:t>
      </w:r>
      <w:r>
        <w:rPr>
          <w:lang w:val="es-GT"/>
        </w:rPr>
        <w:t xml:space="preserve">se espera </w:t>
      </w:r>
      <w:r w:rsidR="00292469">
        <w:rPr>
          <w:lang w:val="es-GT"/>
        </w:rPr>
        <w:t>que los precios aumenten durante este período del año, así que usted puede atribuir los aumentos en los precios a la estacionalidad. Por otro lado, si usted encuentra que los precios se mant</w:t>
      </w:r>
      <w:r w:rsidR="006A28AB">
        <w:rPr>
          <w:lang w:val="es-GT"/>
        </w:rPr>
        <w:t xml:space="preserve">ienen </w:t>
      </w:r>
      <w:r w:rsidR="00292469">
        <w:rPr>
          <w:lang w:val="es-GT"/>
        </w:rPr>
        <w:t xml:space="preserve">altos después de marzo y hasta abril y mayo, usted estaría preocupado que los precios no hayan bajado como se esperaba considerando el índice estacional. Entonces se necesitaría mayor investigación para </w:t>
      </w:r>
      <w:r w:rsidR="00D31039">
        <w:rPr>
          <w:lang w:val="es-GT"/>
        </w:rPr>
        <w:t xml:space="preserve">averiguar </w:t>
      </w:r>
      <w:r w:rsidR="00292469">
        <w:rPr>
          <w:lang w:val="es-GT"/>
        </w:rPr>
        <w:t xml:space="preserve">por qué </w:t>
      </w:r>
      <w:r w:rsidR="00D31039">
        <w:rPr>
          <w:lang w:val="es-GT"/>
        </w:rPr>
        <w:t>lo</w:t>
      </w:r>
      <w:r w:rsidR="00292469">
        <w:rPr>
          <w:lang w:val="es-GT"/>
        </w:rPr>
        <w:t xml:space="preserve">s precios no están bajando como se esperaba.  </w:t>
      </w:r>
    </w:p>
    <w:sectPr w:rsidR="001C3F27" w:rsidRPr="001D09EB" w:rsidSect="001C3F27">
      <w:headerReference w:type="default" r:id="rId8"/>
      <w:footerReference w:type="default" r:id="rId9"/>
      <w:pgSz w:w="12240" w:h="15840"/>
      <w:pgMar w:top="1152" w:right="1152" w:bottom="1152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E4B" w:rsidRDefault="00C85E4B" w:rsidP="00FC7096">
      <w:pPr>
        <w:spacing w:after="0" w:line="240" w:lineRule="auto"/>
      </w:pPr>
      <w:r>
        <w:separator/>
      </w:r>
    </w:p>
  </w:endnote>
  <w:endnote w:type="continuationSeparator" w:id="0">
    <w:p w:rsidR="00C85E4B" w:rsidRDefault="00C85E4B" w:rsidP="00FC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096" w:rsidRPr="00163C36" w:rsidRDefault="00163C36">
    <w:pPr>
      <w:pStyle w:val="Piedepgina"/>
      <w:rPr>
        <w:sz w:val="20"/>
        <w:szCs w:val="20"/>
        <w:lang w:val="es-GT"/>
      </w:rPr>
    </w:pPr>
    <w:r w:rsidRPr="00163C36">
      <w:rPr>
        <w:sz w:val="20"/>
        <w:szCs w:val="20"/>
        <w:lang w:val="es-GT"/>
      </w:rPr>
      <w:t xml:space="preserve">Para un ejemplo más </w:t>
    </w:r>
    <w:r>
      <w:rPr>
        <w:sz w:val="20"/>
        <w:szCs w:val="20"/>
        <w:lang w:val="es-GT"/>
      </w:rPr>
      <w:t>completo</w:t>
    </w:r>
    <w:r w:rsidR="00FC7096" w:rsidRPr="00163C36">
      <w:rPr>
        <w:sz w:val="20"/>
        <w:szCs w:val="20"/>
        <w:lang w:val="es-GT"/>
      </w:rPr>
      <w:t>, visit</w:t>
    </w:r>
    <w:r w:rsidRPr="00163C36">
      <w:rPr>
        <w:sz w:val="20"/>
        <w:szCs w:val="20"/>
        <w:lang w:val="es-GT"/>
      </w:rPr>
      <w:t xml:space="preserve">e el </w:t>
    </w:r>
    <w:r w:rsidR="00A27795" w:rsidRPr="00B01937">
      <w:rPr>
        <w:sz w:val="20"/>
        <w:szCs w:val="20"/>
        <w:lang w:val="es-GT"/>
      </w:rPr>
      <w:t>Food</w:t>
    </w:r>
    <w:r w:rsidR="00A27795" w:rsidRPr="00163C36">
      <w:rPr>
        <w:sz w:val="20"/>
        <w:szCs w:val="20"/>
        <w:lang w:val="es-GT"/>
      </w:rPr>
      <w:t xml:space="preserve"> S</w:t>
    </w:r>
    <w:r>
      <w:rPr>
        <w:sz w:val="20"/>
        <w:szCs w:val="20"/>
        <w:lang w:val="es-GT"/>
      </w:rPr>
      <w:t xml:space="preserve">ecurity Portal facilitado por </w:t>
    </w:r>
    <w:r w:rsidR="00FC7096" w:rsidRPr="00163C36">
      <w:rPr>
        <w:sz w:val="20"/>
        <w:szCs w:val="20"/>
        <w:lang w:val="es-GT"/>
      </w:rPr>
      <w:t xml:space="preserve">IFPRI:  </w:t>
    </w:r>
    <w:hyperlink r:id="rId1" w:history="1">
      <w:r w:rsidR="00FC7096" w:rsidRPr="00163C36">
        <w:rPr>
          <w:rStyle w:val="Hipervnculo"/>
          <w:sz w:val="20"/>
          <w:szCs w:val="20"/>
          <w:lang w:val="es-GT"/>
        </w:rPr>
        <w:t>http://www.foodsecurityportal.org/seasonality-tool</w:t>
      </w:r>
    </w:hyperlink>
    <w:r w:rsidR="00FC7096" w:rsidRPr="00163C36">
      <w:rPr>
        <w:sz w:val="20"/>
        <w:szCs w:val="20"/>
        <w:lang w:val="es-GT"/>
      </w:rPr>
      <w:t xml:space="preserve"> 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E4B" w:rsidRDefault="00C85E4B" w:rsidP="00FC7096">
      <w:pPr>
        <w:spacing w:after="0" w:line="240" w:lineRule="auto"/>
      </w:pPr>
      <w:r>
        <w:separator/>
      </w:r>
    </w:p>
  </w:footnote>
  <w:footnote w:type="continuationSeparator" w:id="0">
    <w:p w:rsidR="00C85E4B" w:rsidRDefault="00C85E4B" w:rsidP="00FC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096" w:rsidRPr="006A28AB" w:rsidRDefault="006A28AB">
    <w:pPr>
      <w:pStyle w:val="Encabezado"/>
      <w:rPr>
        <w:color w:val="808080" w:themeColor="background1" w:themeShade="80"/>
        <w:lang w:val="es-GT"/>
      </w:rPr>
    </w:pPr>
    <w:r w:rsidRPr="006A28AB">
      <w:rPr>
        <w:color w:val="808080" w:themeColor="background1" w:themeShade="80"/>
        <w:lang w:val="es-GT"/>
      </w:rPr>
      <w:t xml:space="preserve">Para </w:t>
    </w:r>
    <w:r w:rsidR="00DB7D82">
      <w:rPr>
        <w:color w:val="808080" w:themeColor="background1" w:themeShade="80"/>
        <w:lang w:val="es-GT"/>
      </w:rPr>
      <w:t xml:space="preserve">utilizarse </w:t>
    </w:r>
    <w:r w:rsidRPr="006A28AB">
      <w:rPr>
        <w:color w:val="808080" w:themeColor="background1" w:themeShade="80"/>
        <w:lang w:val="es-GT"/>
      </w:rPr>
      <w:t xml:space="preserve">con la sección </w:t>
    </w:r>
    <w:r w:rsidR="008C4738" w:rsidRPr="006A28AB">
      <w:rPr>
        <w:color w:val="808080" w:themeColor="background1" w:themeShade="80"/>
        <w:lang w:val="es-GT"/>
      </w:rPr>
      <w:t>5.</w:t>
    </w:r>
    <w:r w:rsidRPr="006A28AB">
      <w:rPr>
        <w:color w:val="808080" w:themeColor="background1" w:themeShade="80"/>
        <w:lang w:val="es-GT"/>
      </w:rPr>
      <w:t xml:space="preserve">2 </w:t>
    </w:r>
    <w:r w:rsidR="00163C36">
      <w:rPr>
        <w:color w:val="808080" w:themeColor="background1" w:themeShade="80"/>
        <w:lang w:val="es-GT"/>
      </w:rPr>
      <w:t xml:space="preserve">del </w:t>
    </w:r>
    <w:r w:rsidRPr="006A28AB">
      <w:rPr>
        <w:color w:val="808080" w:themeColor="background1" w:themeShade="80"/>
        <w:lang w:val="es-GT"/>
      </w:rPr>
      <w:t xml:space="preserve">Manual </w:t>
    </w:r>
    <w:proofErr w:type="spellStart"/>
    <w:r w:rsidR="00FC7096" w:rsidRPr="006A28AB">
      <w:rPr>
        <w:color w:val="808080" w:themeColor="background1" w:themeShade="80"/>
        <w:lang w:val="es-GT"/>
      </w:rPr>
      <w:t>MARKit</w:t>
    </w:r>
    <w:proofErr w:type="spellEnd"/>
    <w:r w:rsidR="00FC7096" w:rsidRPr="006A28AB">
      <w:rPr>
        <w:color w:val="808080" w:themeColor="background1" w:themeShade="80"/>
        <w:lang w:val="es-GT"/>
      </w:rPr>
      <w:t xml:space="preserve"> </w:t>
    </w:r>
    <w:r w:rsidRPr="006A28AB">
      <w:rPr>
        <w:color w:val="808080" w:themeColor="background1" w:themeShade="80"/>
        <w:lang w:val="es-G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0370D"/>
    <w:multiLevelType w:val="hybridMultilevel"/>
    <w:tmpl w:val="C71C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54BA1"/>
    <w:multiLevelType w:val="hybridMultilevel"/>
    <w:tmpl w:val="B0148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1291"/>
    <w:multiLevelType w:val="hybridMultilevel"/>
    <w:tmpl w:val="D7B02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5AE"/>
    <w:rsid w:val="00163C36"/>
    <w:rsid w:val="001C3F27"/>
    <w:rsid w:val="001D09EB"/>
    <w:rsid w:val="001D14F3"/>
    <w:rsid w:val="00261106"/>
    <w:rsid w:val="00291289"/>
    <w:rsid w:val="00292469"/>
    <w:rsid w:val="00325AB0"/>
    <w:rsid w:val="00352CEC"/>
    <w:rsid w:val="00355B18"/>
    <w:rsid w:val="004165AE"/>
    <w:rsid w:val="00455EE3"/>
    <w:rsid w:val="005C72FB"/>
    <w:rsid w:val="0061671A"/>
    <w:rsid w:val="006547C6"/>
    <w:rsid w:val="00675491"/>
    <w:rsid w:val="00685462"/>
    <w:rsid w:val="006A28AB"/>
    <w:rsid w:val="006A7D26"/>
    <w:rsid w:val="006D14F8"/>
    <w:rsid w:val="007141ED"/>
    <w:rsid w:val="00797179"/>
    <w:rsid w:val="007C3A44"/>
    <w:rsid w:val="00866113"/>
    <w:rsid w:val="00896FB1"/>
    <w:rsid w:val="008C4738"/>
    <w:rsid w:val="00925B21"/>
    <w:rsid w:val="00964B8B"/>
    <w:rsid w:val="009855D6"/>
    <w:rsid w:val="009F1463"/>
    <w:rsid w:val="00A27795"/>
    <w:rsid w:val="00A86637"/>
    <w:rsid w:val="00B01937"/>
    <w:rsid w:val="00B76974"/>
    <w:rsid w:val="00C469D1"/>
    <w:rsid w:val="00C66D48"/>
    <w:rsid w:val="00C8419B"/>
    <w:rsid w:val="00C85E4B"/>
    <w:rsid w:val="00CE4A5D"/>
    <w:rsid w:val="00CF3B05"/>
    <w:rsid w:val="00D31039"/>
    <w:rsid w:val="00D3732D"/>
    <w:rsid w:val="00D85466"/>
    <w:rsid w:val="00DB7D82"/>
    <w:rsid w:val="00EB452D"/>
    <w:rsid w:val="00F361A9"/>
    <w:rsid w:val="00F80E24"/>
    <w:rsid w:val="00FC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2417"/>
  <w15:docId w15:val="{9578B26C-4CAD-4BC4-95AB-FF28ACA1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4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5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B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</w:style>
  <w:style w:type="character" w:styleId="Hipervnculo">
    <w:name w:val="Hyperlink"/>
    <w:basedOn w:val="Fuentedeprrafopredeter"/>
    <w:uiPriority w:val="99"/>
    <w:unhideWhenUsed/>
    <w:rsid w:val="00FC7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securityportal.org/seasonality-too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mmcglinchy\Documents\MARKit\HRD%20Takeover\Quantitative%20Analysis%20Worksheet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/>
              <a:t>Índice</a:t>
            </a:r>
            <a:r>
              <a:rPr lang="en-US" baseline="0"/>
              <a:t> Estacional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Seasonal Index</c:v>
          </c:tx>
          <c:marker>
            <c:symbol val="none"/>
          </c:marker>
          <c:cat>
            <c:strRef>
              <c:f>'Seasonal Index'!$E$4:$E$15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'Seasonal Index'!$G$4:$G$15</c:f>
              <c:numCache>
                <c:formatCode>0.00</c:formatCode>
                <c:ptCount val="12"/>
                <c:pt idx="0">
                  <c:v>1.2971716591691405</c:v>
                </c:pt>
                <c:pt idx="1">
                  <c:v>1.3448386033988919</c:v>
                </c:pt>
                <c:pt idx="2">
                  <c:v>1.3573644419892117</c:v>
                </c:pt>
                <c:pt idx="3">
                  <c:v>0.92846657503140428</c:v>
                </c:pt>
                <c:pt idx="4">
                  <c:v>0.74473434597148425</c:v>
                </c:pt>
                <c:pt idx="5">
                  <c:v>0.78219228333108082</c:v>
                </c:pt>
                <c:pt idx="6">
                  <c:v>0.83118953738724921</c:v>
                </c:pt>
                <c:pt idx="7">
                  <c:v>0.90221911373713048</c:v>
                </c:pt>
                <c:pt idx="8">
                  <c:v>0.75011163765748468</c:v>
                </c:pt>
                <c:pt idx="9">
                  <c:v>0.82862233836829102</c:v>
                </c:pt>
                <c:pt idx="10">
                  <c:v>1.0324661614893988</c:v>
                </c:pt>
                <c:pt idx="11">
                  <c:v>1.200623302469231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C49-4FBF-98CF-EC216A81C9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4490368"/>
        <c:axId val="134214400"/>
      </c:lineChart>
      <c:catAx>
        <c:axId val="114490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214400"/>
        <c:crosses val="autoZero"/>
        <c:auto val="1"/>
        <c:lblAlgn val="ctr"/>
        <c:lblOffset val="100"/>
        <c:noMultiLvlLbl val="0"/>
      </c:catAx>
      <c:valAx>
        <c:axId val="13421440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14490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McGlinchy</dc:creator>
  <cp:lastModifiedBy>Lidia Murga</cp:lastModifiedBy>
  <cp:revision>11</cp:revision>
  <cp:lastPrinted>2014-08-19T15:41:00Z</cp:lastPrinted>
  <dcterms:created xsi:type="dcterms:W3CDTF">2016-03-07T03:08:00Z</dcterms:created>
  <dcterms:modified xsi:type="dcterms:W3CDTF">2018-02-12T22:01:00Z</dcterms:modified>
</cp:coreProperties>
</file>