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CA" w:rsidRPr="002F65CA" w:rsidRDefault="002F65CA">
      <w:pPr>
        <w:rPr>
          <w:b/>
          <w:bCs/>
          <w:sz w:val="24"/>
          <w:szCs w:val="24"/>
        </w:rPr>
      </w:pPr>
      <w:r w:rsidRPr="002F65CA">
        <w:rPr>
          <w:b/>
          <w:bCs/>
          <w:sz w:val="24"/>
          <w:szCs w:val="24"/>
        </w:rPr>
        <w:t xml:space="preserve">Setting </w:t>
      </w:r>
      <w:r>
        <w:rPr>
          <w:b/>
          <w:bCs/>
          <w:sz w:val="24"/>
          <w:szCs w:val="24"/>
        </w:rPr>
        <w:t>cash</w:t>
      </w:r>
      <w:r w:rsidRPr="002F65CA">
        <w:rPr>
          <w:b/>
          <w:bCs/>
          <w:sz w:val="24"/>
          <w:szCs w:val="24"/>
        </w:rPr>
        <w:t xml:space="preserve"> transfer value</w:t>
      </w:r>
      <w:r>
        <w:rPr>
          <w:b/>
          <w:bCs/>
          <w:sz w:val="24"/>
          <w:szCs w:val="24"/>
        </w:rPr>
        <w:t>s</w:t>
      </w:r>
      <w:r w:rsidRPr="002F65CA">
        <w:rPr>
          <w:b/>
          <w:bCs/>
          <w:sz w:val="24"/>
          <w:szCs w:val="24"/>
        </w:rPr>
        <w:t xml:space="preserve"> for </w:t>
      </w:r>
      <w:r>
        <w:rPr>
          <w:b/>
          <w:bCs/>
          <w:sz w:val="24"/>
          <w:szCs w:val="24"/>
        </w:rPr>
        <w:t>general</w:t>
      </w:r>
      <w:r w:rsidRPr="002F65CA">
        <w:rPr>
          <w:b/>
          <w:bCs/>
          <w:sz w:val="24"/>
          <w:szCs w:val="24"/>
        </w:rPr>
        <w:t xml:space="preserve"> and sectoral needs</w:t>
      </w:r>
      <w:bookmarkStart w:id="0" w:name="_GoBack"/>
      <w:bookmarkEnd w:id="0"/>
    </w:p>
    <w:p w:rsidR="002F65CA" w:rsidRDefault="002F65CA"/>
    <w:p w:rsidR="00670A09" w:rsidRDefault="00670A09" w:rsidP="00670A09">
      <w:pPr>
        <w:rPr>
          <w:rFonts w:cs="Times New Roman"/>
        </w:rPr>
      </w:pPr>
      <w:r>
        <w:rPr>
          <w:rFonts w:cs="Times New Roman"/>
        </w:rPr>
        <w:t>In this guidance, you will find basic guidelines for setting the cash transfer value for general programs, as well as sectoral programs including food, shelter, WASH, and specialized needs.</w:t>
      </w:r>
    </w:p>
    <w:sdt>
      <w:sdtPr>
        <w:rPr>
          <w:rFonts w:ascii="Calibri" w:eastAsia="Times New Roman" w:hAnsi="Calibri" w:cs="Arial"/>
          <w:color w:val="auto"/>
          <w:sz w:val="22"/>
          <w:szCs w:val="22"/>
        </w:rPr>
        <w:id w:val="336189867"/>
        <w:docPartObj>
          <w:docPartGallery w:val="Table of Contents"/>
          <w:docPartUnique/>
        </w:docPartObj>
      </w:sdtPr>
      <w:sdtEndPr>
        <w:rPr>
          <w:b/>
          <w:bCs/>
          <w:noProof/>
        </w:rPr>
      </w:sdtEndPr>
      <w:sdtContent>
        <w:p w:rsidR="00670A09" w:rsidRPr="00670A09" w:rsidRDefault="00670A09">
          <w:pPr>
            <w:pStyle w:val="TOCHeading"/>
            <w:rPr>
              <w:b/>
              <w:bCs/>
              <w:sz w:val="24"/>
              <w:szCs w:val="24"/>
            </w:rPr>
          </w:pPr>
          <w:r w:rsidRPr="00670A09">
            <w:rPr>
              <w:b/>
              <w:bCs/>
              <w:sz w:val="24"/>
              <w:szCs w:val="24"/>
            </w:rPr>
            <w:t>Contents</w:t>
          </w:r>
        </w:p>
        <w:p w:rsidR="000C7843" w:rsidRDefault="00670A09">
          <w:pPr>
            <w:pStyle w:val="TOC1"/>
            <w:tabs>
              <w:tab w:val="right" w:leader="dot" w:pos="9350"/>
            </w:tabs>
            <w:rPr>
              <w:rFonts w:asciiTheme="minorHAnsi" w:eastAsiaTheme="minorEastAsia" w:hAnsiTheme="minorHAnsi" w:cstheme="minorBidi"/>
              <w:noProof/>
              <w:szCs w:val="20"/>
              <w:lang w:bidi="ne-NP"/>
            </w:rPr>
          </w:pPr>
          <w:r>
            <w:fldChar w:fldCharType="begin"/>
          </w:r>
          <w:r>
            <w:instrText xml:space="preserve"> TOC \o "1-3" \h \z \u </w:instrText>
          </w:r>
          <w:r>
            <w:fldChar w:fldCharType="separate"/>
          </w:r>
          <w:hyperlink w:anchor="_Toc464085211" w:history="1">
            <w:r w:rsidR="000C7843" w:rsidRPr="0035300B">
              <w:rPr>
                <w:rStyle w:val="Hyperlink"/>
                <w:b/>
                <w:bCs/>
                <w:noProof/>
              </w:rPr>
              <w:t>I.   GENERAL OR MULTIPLE NEEDS</w:t>
            </w:r>
            <w:r w:rsidR="000C7843">
              <w:rPr>
                <w:noProof/>
                <w:webHidden/>
              </w:rPr>
              <w:tab/>
            </w:r>
            <w:r w:rsidR="000C7843">
              <w:rPr>
                <w:noProof/>
                <w:webHidden/>
              </w:rPr>
              <w:fldChar w:fldCharType="begin"/>
            </w:r>
            <w:r w:rsidR="000C7843">
              <w:rPr>
                <w:noProof/>
                <w:webHidden/>
              </w:rPr>
              <w:instrText xml:space="preserve"> PAGEREF _Toc464085211 \h </w:instrText>
            </w:r>
            <w:r w:rsidR="000C7843">
              <w:rPr>
                <w:noProof/>
                <w:webHidden/>
              </w:rPr>
            </w:r>
            <w:r w:rsidR="000C7843">
              <w:rPr>
                <w:noProof/>
                <w:webHidden/>
              </w:rPr>
              <w:fldChar w:fldCharType="separate"/>
            </w:r>
            <w:r w:rsidR="000C7843">
              <w:rPr>
                <w:noProof/>
                <w:webHidden/>
              </w:rPr>
              <w:t>1</w:t>
            </w:r>
            <w:r w:rsidR="000C7843">
              <w:rPr>
                <w:noProof/>
                <w:webHidden/>
              </w:rPr>
              <w:fldChar w:fldCharType="end"/>
            </w:r>
          </w:hyperlink>
        </w:p>
        <w:p w:rsidR="000C7843" w:rsidRDefault="000C7843">
          <w:pPr>
            <w:pStyle w:val="TOC2"/>
            <w:tabs>
              <w:tab w:val="right" w:leader="dot" w:pos="9350"/>
            </w:tabs>
            <w:rPr>
              <w:rFonts w:asciiTheme="minorHAnsi" w:eastAsiaTheme="minorEastAsia" w:hAnsiTheme="minorHAnsi" w:cstheme="minorBidi"/>
              <w:noProof/>
              <w:szCs w:val="20"/>
              <w:lang w:bidi="ne-NP"/>
            </w:rPr>
          </w:pPr>
          <w:hyperlink w:anchor="_Toc464085212" w:history="1">
            <w:r w:rsidRPr="0035300B">
              <w:rPr>
                <w:rStyle w:val="Hyperlink"/>
                <w:b/>
                <w:bCs/>
                <w:noProof/>
              </w:rPr>
              <w:t>How much of the MEB should your cash transfer cover?</w:t>
            </w:r>
            <w:r>
              <w:rPr>
                <w:noProof/>
                <w:webHidden/>
              </w:rPr>
              <w:tab/>
            </w:r>
            <w:r>
              <w:rPr>
                <w:noProof/>
                <w:webHidden/>
              </w:rPr>
              <w:fldChar w:fldCharType="begin"/>
            </w:r>
            <w:r>
              <w:rPr>
                <w:noProof/>
                <w:webHidden/>
              </w:rPr>
              <w:instrText xml:space="preserve"> PAGEREF _Toc464085212 \h </w:instrText>
            </w:r>
            <w:r>
              <w:rPr>
                <w:noProof/>
                <w:webHidden/>
              </w:rPr>
            </w:r>
            <w:r>
              <w:rPr>
                <w:noProof/>
                <w:webHidden/>
              </w:rPr>
              <w:fldChar w:fldCharType="separate"/>
            </w:r>
            <w:r>
              <w:rPr>
                <w:noProof/>
                <w:webHidden/>
              </w:rPr>
              <w:t>2</w:t>
            </w:r>
            <w:r>
              <w:rPr>
                <w:noProof/>
                <w:webHidden/>
              </w:rPr>
              <w:fldChar w:fldCharType="end"/>
            </w:r>
          </w:hyperlink>
        </w:p>
        <w:p w:rsidR="000C7843" w:rsidRDefault="000C7843">
          <w:pPr>
            <w:pStyle w:val="TOC2"/>
            <w:tabs>
              <w:tab w:val="right" w:leader="dot" w:pos="9350"/>
            </w:tabs>
            <w:rPr>
              <w:rFonts w:asciiTheme="minorHAnsi" w:eastAsiaTheme="minorEastAsia" w:hAnsiTheme="minorHAnsi" w:cstheme="minorBidi"/>
              <w:noProof/>
              <w:szCs w:val="20"/>
              <w:lang w:bidi="ne-NP"/>
            </w:rPr>
          </w:pPr>
          <w:hyperlink w:anchor="_Toc464085213" w:history="1">
            <w:r w:rsidRPr="0035300B">
              <w:rPr>
                <w:rStyle w:val="Hyperlink"/>
                <w:b/>
                <w:bCs/>
                <w:noProof/>
              </w:rPr>
              <w:t>Linking with government social assistance programs</w:t>
            </w:r>
            <w:r>
              <w:rPr>
                <w:noProof/>
                <w:webHidden/>
              </w:rPr>
              <w:tab/>
            </w:r>
            <w:r>
              <w:rPr>
                <w:noProof/>
                <w:webHidden/>
              </w:rPr>
              <w:fldChar w:fldCharType="begin"/>
            </w:r>
            <w:r>
              <w:rPr>
                <w:noProof/>
                <w:webHidden/>
              </w:rPr>
              <w:instrText xml:space="preserve"> PAGEREF _Toc464085213 \h </w:instrText>
            </w:r>
            <w:r>
              <w:rPr>
                <w:noProof/>
                <w:webHidden/>
              </w:rPr>
            </w:r>
            <w:r>
              <w:rPr>
                <w:noProof/>
                <w:webHidden/>
              </w:rPr>
              <w:fldChar w:fldCharType="separate"/>
            </w:r>
            <w:r>
              <w:rPr>
                <w:noProof/>
                <w:webHidden/>
              </w:rPr>
              <w:t>2</w:t>
            </w:r>
            <w:r>
              <w:rPr>
                <w:noProof/>
                <w:webHidden/>
              </w:rPr>
              <w:fldChar w:fldCharType="end"/>
            </w:r>
          </w:hyperlink>
        </w:p>
        <w:p w:rsidR="000C7843" w:rsidRDefault="000C7843">
          <w:pPr>
            <w:pStyle w:val="TOC1"/>
            <w:tabs>
              <w:tab w:val="right" w:leader="dot" w:pos="9350"/>
            </w:tabs>
            <w:rPr>
              <w:rFonts w:asciiTheme="minorHAnsi" w:eastAsiaTheme="minorEastAsia" w:hAnsiTheme="minorHAnsi" w:cstheme="minorBidi"/>
              <w:noProof/>
              <w:szCs w:val="20"/>
              <w:lang w:bidi="ne-NP"/>
            </w:rPr>
          </w:pPr>
          <w:hyperlink w:anchor="_Toc464085214" w:history="1">
            <w:r w:rsidRPr="0035300B">
              <w:rPr>
                <w:rStyle w:val="Hyperlink"/>
                <w:b/>
                <w:bCs/>
                <w:noProof/>
              </w:rPr>
              <w:t>II.  FOOD.</w:t>
            </w:r>
            <w:r>
              <w:rPr>
                <w:noProof/>
                <w:webHidden/>
              </w:rPr>
              <w:tab/>
            </w:r>
            <w:r>
              <w:rPr>
                <w:noProof/>
                <w:webHidden/>
              </w:rPr>
              <w:fldChar w:fldCharType="begin"/>
            </w:r>
            <w:r>
              <w:rPr>
                <w:noProof/>
                <w:webHidden/>
              </w:rPr>
              <w:instrText xml:space="preserve"> PAGEREF _Toc464085214 \h </w:instrText>
            </w:r>
            <w:r>
              <w:rPr>
                <w:noProof/>
                <w:webHidden/>
              </w:rPr>
            </w:r>
            <w:r>
              <w:rPr>
                <w:noProof/>
                <w:webHidden/>
              </w:rPr>
              <w:fldChar w:fldCharType="separate"/>
            </w:r>
            <w:r>
              <w:rPr>
                <w:noProof/>
                <w:webHidden/>
              </w:rPr>
              <w:t>2</w:t>
            </w:r>
            <w:r>
              <w:rPr>
                <w:noProof/>
                <w:webHidden/>
              </w:rPr>
              <w:fldChar w:fldCharType="end"/>
            </w:r>
          </w:hyperlink>
        </w:p>
        <w:p w:rsidR="000C7843" w:rsidRDefault="000C7843">
          <w:pPr>
            <w:pStyle w:val="TOC1"/>
            <w:tabs>
              <w:tab w:val="right" w:leader="dot" w:pos="9350"/>
            </w:tabs>
            <w:rPr>
              <w:rFonts w:asciiTheme="minorHAnsi" w:eastAsiaTheme="minorEastAsia" w:hAnsiTheme="minorHAnsi" w:cstheme="minorBidi"/>
              <w:noProof/>
              <w:szCs w:val="20"/>
              <w:lang w:bidi="ne-NP"/>
            </w:rPr>
          </w:pPr>
          <w:hyperlink w:anchor="_Toc464085215" w:history="1">
            <w:r w:rsidRPr="0035300B">
              <w:rPr>
                <w:rStyle w:val="Hyperlink"/>
                <w:b/>
                <w:bCs/>
                <w:noProof/>
              </w:rPr>
              <w:t>III.  SHELTER.</w:t>
            </w:r>
            <w:r>
              <w:rPr>
                <w:noProof/>
                <w:webHidden/>
              </w:rPr>
              <w:tab/>
            </w:r>
            <w:r>
              <w:rPr>
                <w:noProof/>
                <w:webHidden/>
              </w:rPr>
              <w:fldChar w:fldCharType="begin"/>
            </w:r>
            <w:r>
              <w:rPr>
                <w:noProof/>
                <w:webHidden/>
              </w:rPr>
              <w:instrText xml:space="preserve"> PAGEREF _Toc464085215 \h </w:instrText>
            </w:r>
            <w:r>
              <w:rPr>
                <w:noProof/>
                <w:webHidden/>
              </w:rPr>
            </w:r>
            <w:r>
              <w:rPr>
                <w:noProof/>
                <w:webHidden/>
              </w:rPr>
              <w:fldChar w:fldCharType="separate"/>
            </w:r>
            <w:r>
              <w:rPr>
                <w:noProof/>
                <w:webHidden/>
              </w:rPr>
              <w:t>3</w:t>
            </w:r>
            <w:r>
              <w:rPr>
                <w:noProof/>
                <w:webHidden/>
              </w:rPr>
              <w:fldChar w:fldCharType="end"/>
            </w:r>
          </w:hyperlink>
        </w:p>
        <w:p w:rsidR="000C7843" w:rsidRDefault="000C7843">
          <w:pPr>
            <w:pStyle w:val="TOC2"/>
            <w:tabs>
              <w:tab w:val="right" w:leader="dot" w:pos="9350"/>
            </w:tabs>
            <w:rPr>
              <w:rFonts w:asciiTheme="minorHAnsi" w:eastAsiaTheme="minorEastAsia" w:hAnsiTheme="minorHAnsi" w:cstheme="minorBidi"/>
              <w:noProof/>
              <w:szCs w:val="20"/>
              <w:lang w:bidi="ne-NP"/>
            </w:rPr>
          </w:pPr>
          <w:hyperlink w:anchor="_Toc464085216" w:history="1">
            <w:r w:rsidRPr="0035300B">
              <w:rPr>
                <w:rStyle w:val="Hyperlink"/>
                <w:b/>
                <w:bCs/>
                <w:noProof/>
              </w:rPr>
              <w:t>Using tranches to ensure quality in shelter programs</w:t>
            </w:r>
            <w:r>
              <w:rPr>
                <w:noProof/>
                <w:webHidden/>
              </w:rPr>
              <w:tab/>
            </w:r>
            <w:r>
              <w:rPr>
                <w:noProof/>
                <w:webHidden/>
              </w:rPr>
              <w:fldChar w:fldCharType="begin"/>
            </w:r>
            <w:r>
              <w:rPr>
                <w:noProof/>
                <w:webHidden/>
              </w:rPr>
              <w:instrText xml:space="preserve"> PAGEREF _Toc464085216 \h </w:instrText>
            </w:r>
            <w:r>
              <w:rPr>
                <w:noProof/>
                <w:webHidden/>
              </w:rPr>
            </w:r>
            <w:r>
              <w:rPr>
                <w:noProof/>
                <w:webHidden/>
              </w:rPr>
              <w:fldChar w:fldCharType="separate"/>
            </w:r>
            <w:r>
              <w:rPr>
                <w:noProof/>
                <w:webHidden/>
              </w:rPr>
              <w:t>4</w:t>
            </w:r>
            <w:r>
              <w:rPr>
                <w:noProof/>
                <w:webHidden/>
              </w:rPr>
              <w:fldChar w:fldCharType="end"/>
            </w:r>
          </w:hyperlink>
        </w:p>
        <w:p w:rsidR="000C7843" w:rsidRDefault="000C7843">
          <w:pPr>
            <w:pStyle w:val="TOC1"/>
            <w:tabs>
              <w:tab w:val="right" w:leader="dot" w:pos="9350"/>
            </w:tabs>
            <w:rPr>
              <w:rFonts w:asciiTheme="minorHAnsi" w:eastAsiaTheme="minorEastAsia" w:hAnsiTheme="minorHAnsi" w:cstheme="minorBidi"/>
              <w:noProof/>
              <w:szCs w:val="20"/>
              <w:lang w:bidi="ne-NP"/>
            </w:rPr>
          </w:pPr>
          <w:hyperlink w:anchor="_Toc464085217" w:history="1">
            <w:r w:rsidRPr="0035300B">
              <w:rPr>
                <w:rStyle w:val="Hyperlink"/>
                <w:b/>
                <w:bCs/>
                <w:noProof/>
              </w:rPr>
              <w:t>III.  WASH.</w:t>
            </w:r>
            <w:r>
              <w:rPr>
                <w:noProof/>
                <w:webHidden/>
              </w:rPr>
              <w:tab/>
            </w:r>
            <w:r>
              <w:rPr>
                <w:noProof/>
                <w:webHidden/>
              </w:rPr>
              <w:fldChar w:fldCharType="begin"/>
            </w:r>
            <w:r>
              <w:rPr>
                <w:noProof/>
                <w:webHidden/>
              </w:rPr>
              <w:instrText xml:space="preserve"> PAGEREF _Toc464085217 \h </w:instrText>
            </w:r>
            <w:r>
              <w:rPr>
                <w:noProof/>
                <w:webHidden/>
              </w:rPr>
            </w:r>
            <w:r>
              <w:rPr>
                <w:noProof/>
                <w:webHidden/>
              </w:rPr>
              <w:fldChar w:fldCharType="separate"/>
            </w:r>
            <w:r>
              <w:rPr>
                <w:noProof/>
                <w:webHidden/>
              </w:rPr>
              <w:t>4</w:t>
            </w:r>
            <w:r>
              <w:rPr>
                <w:noProof/>
                <w:webHidden/>
              </w:rPr>
              <w:fldChar w:fldCharType="end"/>
            </w:r>
          </w:hyperlink>
        </w:p>
        <w:p w:rsidR="000C7843" w:rsidRDefault="000C7843">
          <w:pPr>
            <w:pStyle w:val="TOC1"/>
            <w:tabs>
              <w:tab w:val="right" w:leader="dot" w:pos="9350"/>
            </w:tabs>
            <w:rPr>
              <w:rFonts w:asciiTheme="minorHAnsi" w:eastAsiaTheme="minorEastAsia" w:hAnsiTheme="minorHAnsi" w:cstheme="minorBidi"/>
              <w:noProof/>
              <w:szCs w:val="20"/>
              <w:lang w:bidi="ne-NP"/>
            </w:rPr>
          </w:pPr>
          <w:hyperlink w:anchor="_Toc464085218" w:history="1">
            <w:r w:rsidRPr="0035300B">
              <w:rPr>
                <w:rStyle w:val="Hyperlink"/>
                <w:b/>
                <w:bCs/>
                <w:noProof/>
              </w:rPr>
              <w:t>IV.  OTHER.</w:t>
            </w:r>
            <w:r>
              <w:rPr>
                <w:noProof/>
                <w:webHidden/>
              </w:rPr>
              <w:tab/>
            </w:r>
            <w:r>
              <w:rPr>
                <w:noProof/>
                <w:webHidden/>
              </w:rPr>
              <w:fldChar w:fldCharType="begin"/>
            </w:r>
            <w:r>
              <w:rPr>
                <w:noProof/>
                <w:webHidden/>
              </w:rPr>
              <w:instrText xml:space="preserve"> PAGEREF _Toc464085218 \h </w:instrText>
            </w:r>
            <w:r>
              <w:rPr>
                <w:noProof/>
                <w:webHidden/>
              </w:rPr>
            </w:r>
            <w:r>
              <w:rPr>
                <w:noProof/>
                <w:webHidden/>
              </w:rPr>
              <w:fldChar w:fldCharType="separate"/>
            </w:r>
            <w:r>
              <w:rPr>
                <w:noProof/>
                <w:webHidden/>
              </w:rPr>
              <w:t>4</w:t>
            </w:r>
            <w:r>
              <w:rPr>
                <w:noProof/>
                <w:webHidden/>
              </w:rPr>
              <w:fldChar w:fldCharType="end"/>
            </w:r>
          </w:hyperlink>
        </w:p>
        <w:p w:rsidR="00670A09" w:rsidRDefault="00670A09">
          <w:r>
            <w:rPr>
              <w:b/>
              <w:bCs/>
              <w:noProof/>
            </w:rPr>
            <w:fldChar w:fldCharType="end"/>
          </w:r>
        </w:p>
      </w:sdtContent>
    </w:sdt>
    <w:p w:rsidR="002F65CA" w:rsidRPr="00670A09" w:rsidRDefault="00670A09" w:rsidP="00670A09">
      <w:pPr>
        <w:rPr>
          <w:rFonts w:cs="Times New Roman"/>
        </w:rPr>
      </w:pPr>
      <w:bookmarkStart w:id="1" w:name="_Toc464085211"/>
      <w:r w:rsidRPr="00670A09">
        <w:rPr>
          <w:rStyle w:val="Heading1Char"/>
          <w:b/>
          <w:bCs/>
          <w:sz w:val="24"/>
          <w:szCs w:val="24"/>
        </w:rPr>
        <w:t>I.   GENERAL OR MULTIPLE NEEDS</w:t>
      </w:r>
      <w:bookmarkEnd w:id="1"/>
      <w:r w:rsidRPr="00670A09">
        <w:rPr>
          <w:rFonts w:cs="Times New Roman"/>
          <w:b/>
          <w:bCs/>
        </w:rPr>
        <w:t>.</w:t>
      </w:r>
      <w:r>
        <w:rPr>
          <w:rFonts w:cs="Times New Roman"/>
          <w:b/>
          <w:bCs/>
        </w:rPr>
        <w:t xml:space="preserve">  </w:t>
      </w:r>
      <w:r w:rsidR="002F65CA" w:rsidRPr="00670A09">
        <w:rPr>
          <w:rFonts w:cs="Times New Roman"/>
          <w:b/>
          <w:bCs/>
        </w:rPr>
        <w:t xml:space="preserve">For </w:t>
      </w:r>
      <w:r w:rsidR="00203DA8" w:rsidRPr="00670A09">
        <w:rPr>
          <w:rFonts w:cs="Times New Roman"/>
          <w:b/>
          <w:bCs/>
        </w:rPr>
        <w:t xml:space="preserve">general or </w:t>
      </w:r>
      <w:r w:rsidR="002F65CA" w:rsidRPr="00670A09">
        <w:rPr>
          <w:rFonts w:cs="Times New Roman"/>
          <w:b/>
          <w:bCs/>
        </w:rPr>
        <w:t>multiple needs</w:t>
      </w:r>
      <w:r w:rsidR="002F65CA" w:rsidRPr="00670A09">
        <w:rPr>
          <w:rFonts w:cs="Times New Roman"/>
        </w:rPr>
        <w:t xml:space="preserve">, set the CT value based on an estimate of what items and services people cannot access through their average incomes.  Use a Minimum Expenditure Basket (MEB) to determine what people’s monthly needs are, compared with an estimate of what needs they’re able to meet without aid.  See this guidance </w:t>
      </w:r>
      <w:hyperlink r:id="rId8" w:history="1">
        <w:r w:rsidR="002F65CA" w:rsidRPr="00670A09">
          <w:rPr>
            <w:rStyle w:val="Hyperlink"/>
            <w:rFonts w:cs="Times New Roman"/>
          </w:rPr>
          <w:t>here</w:t>
        </w:r>
      </w:hyperlink>
      <w:r w:rsidR="002F65CA" w:rsidRPr="00670A09">
        <w:rPr>
          <w:rFonts w:cs="Times New Roman"/>
        </w:rPr>
        <w:t xml:space="preserve"> on creating a Minimum Expenditure Basket.</w:t>
      </w:r>
      <w:r>
        <w:rPr>
          <w:rFonts w:cs="Times New Roman"/>
        </w:rPr>
        <w:t xml:space="preserve">  Below is an example of an MEB from Nepal.</w:t>
      </w:r>
    </w:p>
    <w:p w:rsidR="00060068" w:rsidRDefault="00060068" w:rsidP="00060068">
      <w:pPr>
        <w:jc w:val="both"/>
      </w:pPr>
    </w:p>
    <w:tbl>
      <w:tblPr>
        <w:tblW w:w="9000" w:type="dxa"/>
        <w:tblInd w:w="-5"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3240"/>
        <w:gridCol w:w="2070"/>
        <w:gridCol w:w="1440"/>
        <w:gridCol w:w="1080"/>
        <w:gridCol w:w="1170"/>
      </w:tblGrid>
      <w:tr w:rsidR="00060068" w:rsidRPr="00881209" w:rsidTr="000C7843">
        <w:trPr>
          <w:trHeight w:val="560"/>
        </w:trPr>
        <w:tc>
          <w:tcPr>
            <w:tcW w:w="3240" w:type="dxa"/>
            <w:shd w:val="clear" w:color="auto" w:fill="833C0B" w:themeFill="accent2" w:themeFillShade="80"/>
            <w:tcMar>
              <w:left w:w="58" w:type="dxa"/>
              <w:right w:w="58" w:type="dxa"/>
            </w:tcMar>
            <w:vAlign w:val="center"/>
            <w:hideMark/>
          </w:tcPr>
          <w:p w:rsidR="00060068" w:rsidRPr="00881209" w:rsidRDefault="00060068" w:rsidP="005B072F">
            <w:pPr>
              <w:rPr>
                <w:rFonts w:asciiTheme="minorHAnsi" w:hAnsiTheme="minorHAnsi" w:cs="Times New Roman"/>
                <w:b/>
                <w:bCs/>
                <w:color w:val="FFFFFF"/>
              </w:rPr>
            </w:pPr>
            <w:r w:rsidRPr="00881209">
              <w:rPr>
                <w:rFonts w:asciiTheme="minorHAnsi" w:hAnsiTheme="minorHAnsi" w:cs="Times New Roman"/>
                <w:b/>
                <w:bCs/>
                <w:color w:val="FFFFFF"/>
              </w:rPr>
              <w:t>Item</w:t>
            </w:r>
          </w:p>
        </w:tc>
        <w:tc>
          <w:tcPr>
            <w:tcW w:w="2070" w:type="dxa"/>
            <w:shd w:val="clear" w:color="auto" w:fill="833C0B" w:themeFill="accent2" w:themeFillShade="80"/>
            <w:tcMar>
              <w:left w:w="58" w:type="dxa"/>
              <w:right w:w="58" w:type="dxa"/>
            </w:tcMar>
            <w:vAlign w:val="center"/>
            <w:hideMark/>
          </w:tcPr>
          <w:p w:rsidR="00060068" w:rsidRPr="00881209" w:rsidRDefault="00060068" w:rsidP="005B072F">
            <w:pPr>
              <w:rPr>
                <w:rFonts w:asciiTheme="minorHAnsi" w:hAnsiTheme="minorHAnsi" w:cs="Times New Roman"/>
                <w:b/>
                <w:bCs/>
                <w:color w:val="FFFFFF"/>
              </w:rPr>
            </w:pPr>
            <w:r w:rsidRPr="00881209">
              <w:rPr>
                <w:rFonts w:asciiTheme="minorHAnsi" w:hAnsiTheme="minorHAnsi" w:cs="Times New Roman"/>
                <w:b/>
                <w:bCs/>
                <w:color w:val="FFFFFF"/>
              </w:rPr>
              <w:t>Unit</w:t>
            </w:r>
          </w:p>
        </w:tc>
        <w:tc>
          <w:tcPr>
            <w:tcW w:w="1440" w:type="dxa"/>
            <w:shd w:val="clear" w:color="auto" w:fill="833C0B" w:themeFill="accent2" w:themeFillShade="80"/>
            <w:tcMar>
              <w:left w:w="58" w:type="dxa"/>
              <w:right w:w="58" w:type="dxa"/>
            </w:tcMar>
            <w:vAlign w:val="center"/>
            <w:hideMark/>
          </w:tcPr>
          <w:p w:rsidR="00060068" w:rsidRPr="00881209" w:rsidRDefault="00060068" w:rsidP="005B072F">
            <w:pPr>
              <w:jc w:val="center"/>
              <w:rPr>
                <w:rFonts w:asciiTheme="minorHAnsi" w:hAnsiTheme="minorHAnsi" w:cs="Times New Roman"/>
                <w:b/>
                <w:bCs/>
                <w:color w:val="FFFFFF"/>
              </w:rPr>
            </w:pPr>
            <w:r w:rsidRPr="00881209">
              <w:rPr>
                <w:rFonts w:asciiTheme="minorHAnsi" w:hAnsiTheme="minorHAnsi" w:cs="Times New Roman"/>
                <w:b/>
                <w:bCs/>
                <w:color w:val="FFFFFF"/>
              </w:rPr>
              <w:t>Quantity per HH of 5 per month</w:t>
            </w:r>
          </w:p>
        </w:tc>
        <w:tc>
          <w:tcPr>
            <w:tcW w:w="1080" w:type="dxa"/>
            <w:shd w:val="clear" w:color="auto" w:fill="833C0B" w:themeFill="accent2" w:themeFillShade="80"/>
            <w:tcMar>
              <w:left w:w="58" w:type="dxa"/>
              <w:right w:w="58" w:type="dxa"/>
            </w:tcMar>
            <w:vAlign w:val="center"/>
            <w:hideMark/>
          </w:tcPr>
          <w:p w:rsidR="00060068" w:rsidRPr="00881209" w:rsidRDefault="00060068" w:rsidP="005B072F">
            <w:pPr>
              <w:jc w:val="center"/>
              <w:rPr>
                <w:rFonts w:asciiTheme="minorHAnsi" w:hAnsiTheme="minorHAnsi" w:cs="Times New Roman"/>
                <w:b/>
                <w:bCs/>
                <w:color w:val="FFFFFF"/>
              </w:rPr>
            </w:pPr>
            <w:r w:rsidRPr="00881209">
              <w:rPr>
                <w:rFonts w:asciiTheme="minorHAnsi" w:hAnsiTheme="minorHAnsi" w:cs="Times New Roman"/>
                <w:b/>
                <w:bCs/>
                <w:color w:val="FFFFFF"/>
              </w:rPr>
              <w:t>Price per unit</w:t>
            </w:r>
          </w:p>
        </w:tc>
        <w:tc>
          <w:tcPr>
            <w:tcW w:w="1170" w:type="dxa"/>
            <w:shd w:val="clear" w:color="auto" w:fill="833C0B" w:themeFill="accent2" w:themeFillShade="80"/>
            <w:tcMar>
              <w:left w:w="58" w:type="dxa"/>
              <w:right w:w="58" w:type="dxa"/>
            </w:tcMar>
            <w:vAlign w:val="center"/>
            <w:hideMark/>
          </w:tcPr>
          <w:p w:rsidR="00060068" w:rsidRPr="00881209" w:rsidRDefault="00060068" w:rsidP="005B072F">
            <w:pPr>
              <w:jc w:val="center"/>
              <w:rPr>
                <w:rFonts w:asciiTheme="minorHAnsi" w:hAnsiTheme="minorHAnsi" w:cs="Times New Roman"/>
                <w:b/>
                <w:bCs/>
                <w:color w:val="FFFFFF"/>
              </w:rPr>
            </w:pPr>
            <w:r w:rsidRPr="00881209">
              <w:rPr>
                <w:rFonts w:asciiTheme="minorHAnsi" w:hAnsiTheme="minorHAnsi" w:cs="Times New Roman"/>
                <w:b/>
                <w:bCs/>
                <w:color w:val="FFFFFF"/>
              </w:rPr>
              <w:t>Total price per month</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Rice</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Kg</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63</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0.45</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28.35</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Dried pulses</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Kg</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14</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1.4</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18.90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Oil</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L</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4</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1.28</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4.80</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Milk (cow/whole)</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L</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9</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0.68</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6.12</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Leaves (Dark Green e.g. Spinach)</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Kg</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15</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0.75</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11.25</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Salt (</w:t>
            </w:r>
            <w:proofErr w:type="spellStart"/>
            <w:r w:rsidRPr="00100872">
              <w:rPr>
                <w:rFonts w:asciiTheme="minorHAnsi" w:hAnsiTheme="minorHAnsi" w:cs="Times New Roman"/>
                <w:color w:val="000000"/>
                <w:sz w:val="21"/>
                <w:szCs w:val="21"/>
              </w:rPr>
              <w:t>iodised</w:t>
            </w:r>
            <w:proofErr w:type="spellEnd"/>
            <w:r w:rsidRPr="00100872">
              <w:rPr>
                <w:rFonts w:asciiTheme="minorHAnsi" w:hAnsiTheme="minorHAnsi" w:cs="Times New Roman"/>
                <w:color w:val="000000"/>
                <w:sz w:val="21"/>
                <w:szCs w:val="21"/>
              </w:rPr>
              <w:t>)</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Kg</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0.00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Eggplant (</w:t>
            </w:r>
            <w:proofErr w:type="spellStart"/>
            <w:r w:rsidRPr="00100872">
              <w:rPr>
                <w:rFonts w:asciiTheme="minorHAnsi" w:hAnsiTheme="minorHAnsi" w:cs="Times New Roman"/>
                <w:color w:val="000000"/>
                <w:sz w:val="21"/>
                <w:szCs w:val="21"/>
              </w:rPr>
              <w:t>Augbergine</w:t>
            </w:r>
            <w:proofErr w:type="spellEnd"/>
            <w:r w:rsidRPr="00100872">
              <w:rPr>
                <w:rFonts w:asciiTheme="minorHAnsi" w:hAnsiTheme="minorHAnsi" w:cs="Times New Roman"/>
                <w:color w:val="000000"/>
                <w:sz w:val="21"/>
                <w:szCs w:val="21"/>
              </w:rPr>
              <w:t>)</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kg</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7.5</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0.35</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2.63</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proofErr w:type="spellStart"/>
            <w:r w:rsidRPr="00100872">
              <w:rPr>
                <w:rFonts w:asciiTheme="minorHAnsi" w:hAnsiTheme="minorHAnsi" w:cs="Times New Roman"/>
                <w:color w:val="000000"/>
                <w:sz w:val="21"/>
                <w:szCs w:val="21"/>
              </w:rPr>
              <w:t>Inidividual</w:t>
            </w:r>
            <w:proofErr w:type="spellEnd"/>
            <w:r w:rsidRPr="00100872">
              <w:rPr>
                <w:rFonts w:asciiTheme="minorHAnsi" w:hAnsiTheme="minorHAnsi" w:cs="Times New Roman"/>
                <w:color w:val="000000"/>
                <w:sz w:val="21"/>
                <w:szCs w:val="21"/>
              </w:rPr>
              <w:t xml:space="preserve"> soap</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Pcs</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12</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0.25</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3.00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w:t>
            </w:r>
            <w:proofErr w:type="spellStart"/>
            <w:r w:rsidRPr="00100872">
              <w:rPr>
                <w:rFonts w:asciiTheme="minorHAnsi" w:hAnsiTheme="minorHAnsi" w:cs="Times New Roman"/>
                <w:color w:val="000000"/>
                <w:sz w:val="21"/>
                <w:szCs w:val="21"/>
              </w:rPr>
              <w:t>Piyush</w:t>
            </w:r>
            <w:proofErr w:type="spellEnd"/>
            <w:r w:rsidRPr="00100872">
              <w:rPr>
                <w:rFonts w:asciiTheme="minorHAnsi" w:hAnsiTheme="minorHAnsi" w:cs="Times New Roman"/>
                <w:color w:val="000000"/>
                <w:sz w:val="21"/>
                <w:szCs w:val="21"/>
              </w:rPr>
              <w:t>" water guard liquid chlorine</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Bottle</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0.45</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0.00</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Water Container</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Bottle</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3.5</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3.50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Bath soap</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Bars</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12</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0.3</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3.60</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Laundry soap</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Block</w:t>
            </w:r>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0.8</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0.80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Sanitary Napkin</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Piece</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24</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0.1</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2.40</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Transport</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proofErr w:type="spellStart"/>
            <w:r w:rsidRPr="00100872">
              <w:rPr>
                <w:rFonts w:asciiTheme="minorHAnsi" w:hAnsiTheme="minorHAnsi" w:cs="Times New Roman"/>
                <w:color w:val="000000"/>
                <w:sz w:val="21"/>
                <w:szCs w:val="21"/>
              </w:rPr>
              <w:t>Lumpsum</w:t>
            </w:r>
            <w:proofErr w:type="spellEnd"/>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2.5</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2.50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Mobile phone top-up</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proofErr w:type="spellStart"/>
            <w:r w:rsidRPr="00100872">
              <w:rPr>
                <w:rFonts w:asciiTheme="minorHAnsi" w:hAnsiTheme="minorHAnsi" w:cs="Times New Roman"/>
                <w:color w:val="000000"/>
                <w:sz w:val="21"/>
                <w:szCs w:val="21"/>
              </w:rPr>
              <w:t>Lumpsum</w:t>
            </w:r>
            <w:proofErr w:type="spellEnd"/>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5</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5.00</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C7843" w:rsidP="005B072F">
            <w:pPr>
              <w:rPr>
                <w:rFonts w:asciiTheme="minorHAnsi" w:hAnsiTheme="minorHAnsi" w:cs="Times New Roman"/>
                <w:i/>
                <w:iCs/>
                <w:color w:val="000000"/>
                <w:sz w:val="21"/>
                <w:szCs w:val="21"/>
              </w:rPr>
            </w:pPr>
            <w:r>
              <w:rPr>
                <w:rFonts w:asciiTheme="minorHAnsi" w:hAnsiTheme="minorHAnsi" w:cs="Times New Roman"/>
                <w:i/>
                <w:iCs/>
                <w:color w:val="000000"/>
                <w:sz w:val="21"/>
                <w:szCs w:val="21"/>
              </w:rPr>
              <w:t>Extra</w:t>
            </w: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proofErr w:type="spellStart"/>
            <w:r w:rsidRPr="00100872">
              <w:rPr>
                <w:rFonts w:asciiTheme="minorHAnsi" w:hAnsiTheme="minorHAnsi" w:cs="Times New Roman"/>
                <w:color w:val="000000"/>
                <w:sz w:val="21"/>
                <w:szCs w:val="21"/>
              </w:rPr>
              <w:t>Lumpsum</w:t>
            </w:r>
            <w:proofErr w:type="spellEnd"/>
          </w:p>
        </w:tc>
        <w:tc>
          <w:tcPr>
            <w:tcW w:w="144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10</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10.00</w:t>
            </w:r>
          </w:p>
        </w:tc>
      </w:tr>
      <w:tr w:rsidR="00060068" w:rsidRPr="00881209" w:rsidTr="000C7843">
        <w:trPr>
          <w:trHeight w:val="280"/>
        </w:trPr>
        <w:tc>
          <w:tcPr>
            <w:tcW w:w="3240" w:type="dxa"/>
            <w:shd w:val="clear" w:color="auto" w:fill="auto"/>
            <w:noWrap/>
            <w:tcMar>
              <w:left w:w="58" w:type="dxa"/>
              <w:right w:w="58" w:type="dxa"/>
            </w:tcMar>
            <w:hideMark/>
          </w:tcPr>
          <w:p w:rsidR="00060068" w:rsidRPr="00100872" w:rsidRDefault="00060068" w:rsidP="005B072F">
            <w:pPr>
              <w:rPr>
                <w:rFonts w:asciiTheme="minorHAnsi" w:hAnsiTheme="minorHAnsi" w:cs="Times New Roman"/>
                <w:color w:val="000000"/>
                <w:sz w:val="21"/>
                <w:szCs w:val="21"/>
              </w:rPr>
            </w:pPr>
            <w:r w:rsidRPr="00100872">
              <w:rPr>
                <w:rFonts w:asciiTheme="minorHAnsi" w:hAnsiTheme="minorHAnsi" w:cs="Times New Roman"/>
                <w:color w:val="000000"/>
                <w:sz w:val="21"/>
                <w:szCs w:val="21"/>
              </w:rPr>
              <w:t>Inflation</w:t>
            </w:r>
          </w:p>
        </w:tc>
        <w:tc>
          <w:tcPr>
            <w:tcW w:w="2070" w:type="dxa"/>
            <w:shd w:val="clear" w:color="auto" w:fill="auto"/>
            <w:noWrap/>
            <w:tcMar>
              <w:left w:w="58" w:type="dxa"/>
              <w:right w:w="58" w:type="dxa"/>
            </w:tcMar>
            <w:vAlign w:val="bottom"/>
            <w:hideMark/>
          </w:tcPr>
          <w:p w:rsidR="00060068" w:rsidRPr="00100872" w:rsidRDefault="00060068" w:rsidP="005B072F">
            <w:pPr>
              <w:rPr>
                <w:rFonts w:asciiTheme="minorHAnsi" w:hAnsiTheme="minorHAnsi" w:cs="Times New Roman"/>
                <w:color w:val="000000"/>
                <w:sz w:val="21"/>
                <w:szCs w:val="21"/>
              </w:rPr>
            </w:pPr>
            <w:proofErr w:type="spellStart"/>
            <w:r w:rsidRPr="00100872">
              <w:rPr>
                <w:rFonts w:asciiTheme="minorHAnsi" w:hAnsiTheme="minorHAnsi" w:cs="Times New Roman"/>
                <w:color w:val="000000"/>
                <w:sz w:val="21"/>
                <w:szCs w:val="21"/>
              </w:rPr>
              <w:t>Lumpsum</w:t>
            </w:r>
            <w:proofErr w:type="spellEnd"/>
            <w:r w:rsidRPr="00100872">
              <w:rPr>
                <w:rFonts w:asciiTheme="minorHAnsi" w:hAnsiTheme="minorHAnsi" w:cs="Times New Roman"/>
                <w:color w:val="000000"/>
                <w:sz w:val="21"/>
                <w:szCs w:val="21"/>
              </w:rPr>
              <w:t xml:space="preserve"> (5% of total)</w:t>
            </w:r>
          </w:p>
        </w:tc>
        <w:tc>
          <w:tcPr>
            <w:tcW w:w="144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w:t>
            </w:r>
          </w:p>
        </w:tc>
        <w:tc>
          <w:tcPr>
            <w:tcW w:w="108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10</w:t>
            </w:r>
          </w:p>
        </w:tc>
        <w:tc>
          <w:tcPr>
            <w:tcW w:w="1170" w:type="dxa"/>
            <w:shd w:val="clear" w:color="auto" w:fill="auto"/>
            <w:noWrap/>
            <w:tcMar>
              <w:left w:w="58" w:type="dxa"/>
              <w:right w:w="58" w:type="dxa"/>
            </w:tcMar>
            <w:vAlign w:val="bottom"/>
            <w:hideMark/>
          </w:tcPr>
          <w:p w:rsidR="00060068" w:rsidRPr="00100872" w:rsidRDefault="00060068" w:rsidP="005B072F">
            <w:pPr>
              <w:jc w:val="right"/>
              <w:rPr>
                <w:rFonts w:asciiTheme="minorHAnsi" w:hAnsiTheme="minorHAnsi" w:cs="Times New Roman"/>
                <w:color w:val="000000"/>
                <w:sz w:val="21"/>
                <w:szCs w:val="21"/>
              </w:rPr>
            </w:pPr>
            <w:r w:rsidRPr="00100872">
              <w:rPr>
                <w:rFonts w:asciiTheme="minorHAnsi" w:hAnsiTheme="minorHAnsi" w:cs="Times New Roman"/>
                <w:color w:val="000000"/>
                <w:sz w:val="21"/>
                <w:szCs w:val="21"/>
              </w:rPr>
              <w:t>5.14</w:t>
            </w:r>
          </w:p>
        </w:tc>
      </w:tr>
      <w:tr w:rsidR="00060068" w:rsidRPr="00881209" w:rsidTr="000C7843">
        <w:trPr>
          <w:trHeight w:val="280"/>
        </w:trPr>
        <w:tc>
          <w:tcPr>
            <w:tcW w:w="3240" w:type="dxa"/>
            <w:shd w:val="clear" w:color="E4DFEC" w:fill="E4DFEC"/>
            <w:noWrap/>
            <w:tcMar>
              <w:left w:w="58" w:type="dxa"/>
              <w:right w:w="58" w:type="dxa"/>
            </w:tcMar>
            <w:hideMark/>
          </w:tcPr>
          <w:p w:rsidR="00060068" w:rsidRPr="00100872" w:rsidRDefault="00060068" w:rsidP="005B072F">
            <w:pPr>
              <w:rPr>
                <w:rFonts w:asciiTheme="minorHAnsi" w:hAnsiTheme="minorHAnsi" w:cs="Times New Roman"/>
                <w:i/>
                <w:iCs/>
                <w:color w:val="000000"/>
                <w:sz w:val="21"/>
                <w:szCs w:val="21"/>
              </w:rPr>
            </w:pPr>
          </w:p>
        </w:tc>
        <w:tc>
          <w:tcPr>
            <w:tcW w:w="207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i/>
                <w:iCs/>
                <w:color w:val="000000"/>
                <w:sz w:val="21"/>
                <w:szCs w:val="21"/>
              </w:rPr>
            </w:pPr>
          </w:p>
        </w:tc>
        <w:tc>
          <w:tcPr>
            <w:tcW w:w="144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i/>
                <w:iCs/>
                <w:color w:val="000000"/>
                <w:sz w:val="21"/>
                <w:szCs w:val="21"/>
              </w:rPr>
            </w:pPr>
          </w:p>
        </w:tc>
        <w:tc>
          <w:tcPr>
            <w:tcW w:w="1080" w:type="dxa"/>
            <w:shd w:val="clear" w:color="E4DFEC" w:fill="E4DFEC"/>
            <w:noWrap/>
            <w:tcMar>
              <w:left w:w="58" w:type="dxa"/>
              <w:right w:w="58" w:type="dxa"/>
            </w:tcMar>
            <w:vAlign w:val="bottom"/>
            <w:hideMark/>
          </w:tcPr>
          <w:p w:rsidR="00060068" w:rsidRPr="00100872" w:rsidRDefault="00060068" w:rsidP="005B072F">
            <w:pPr>
              <w:rPr>
                <w:rFonts w:asciiTheme="minorHAnsi" w:hAnsiTheme="minorHAnsi" w:cs="Times New Roman"/>
                <w:b/>
                <w:i/>
                <w:iCs/>
                <w:color w:val="000000"/>
                <w:sz w:val="21"/>
                <w:szCs w:val="21"/>
              </w:rPr>
            </w:pPr>
            <w:r w:rsidRPr="00100872">
              <w:rPr>
                <w:rFonts w:asciiTheme="minorHAnsi" w:hAnsiTheme="minorHAnsi" w:cs="Times New Roman"/>
                <w:b/>
                <w:i/>
                <w:iCs/>
                <w:color w:val="000000"/>
                <w:sz w:val="21"/>
                <w:szCs w:val="21"/>
              </w:rPr>
              <w:t>TOTAL US$</w:t>
            </w:r>
          </w:p>
        </w:tc>
        <w:tc>
          <w:tcPr>
            <w:tcW w:w="1170" w:type="dxa"/>
            <w:shd w:val="clear" w:color="E4DFEC" w:fill="E4DFEC"/>
            <w:noWrap/>
            <w:tcMar>
              <w:left w:w="58" w:type="dxa"/>
              <w:right w:w="58" w:type="dxa"/>
            </w:tcMar>
            <w:vAlign w:val="bottom"/>
            <w:hideMark/>
          </w:tcPr>
          <w:p w:rsidR="00060068" w:rsidRPr="00100872" w:rsidRDefault="00060068" w:rsidP="005B072F">
            <w:pPr>
              <w:jc w:val="right"/>
              <w:rPr>
                <w:rFonts w:asciiTheme="minorHAnsi" w:hAnsiTheme="minorHAnsi" w:cs="Times New Roman"/>
                <w:b/>
                <w:bCs/>
                <w:i/>
                <w:iCs/>
                <w:color w:val="000000"/>
                <w:sz w:val="21"/>
                <w:szCs w:val="21"/>
              </w:rPr>
            </w:pPr>
            <w:r w:rsidRPr="00100872">
              <w:rPr>
                <w:rFonts w:asciiTheme="minorHAnsi" w:hAnsiTheme="minorHAnsi" w:cs="Times New Roman"/>
                <w:b/>
                <w:bCs/>
                <w:i/>
                <w:iCs/>
                <w:color w:val="000000"/>
                <w:sz w:val="21"/>
                <w:szCs w:val="21"/>
              </w:rPr>
              <w:t>107.99</w:t>
            </w:r>
          </w:p>
        </w:tc>
      </w:tr>
      <w:tr w:rsidR="00060068" w:rsidRPr="00881209" w:rsidTr="00670A09">
        <w:trPr>
          <w:trHeight w:val="280"/>
        </w:trPr>
        <w:tc>
          <w:tcPr>
            <w:tcW w:w="7830" w:type="dxa"/>
            <w:gridSpan w:val="4"/>
            <w:shd w:val="clear" w:color="E4DFEC" w:fill="E4DFEC"/>
            <w:noWrap/>
            <w:tcMar>
              <w:left w:w="58" w:type="dxa"/>
              <w:right w:w="58" w:type="dxa"/>
            </w:tcMar>
          </w:tcPr>
          <w:p w:rsidR="00060068" w:rsidRPr="00100872" w:rsidRDefault="00060068" w:rsidP="005B072F">
            <w:pPr>
              <w:jc w:val="right"/>
              <w:rPr>
                <w:rFonts w:asciiTheme="minorHAnsi" w:hAnsiTheme="minorHAnsi" w:cs="Times New Roman"/>
                <w:b/>
                <w:i/>
                <w:iCs/>
                <w:color w:val="000000"/>
                <w:sz w:val="21"/>
                <w:szCs w:val="21"/>
              </w:rPr>
            </w:pPr>
            <w:r w:rsidRPr="00100872">
              <w:rPr>
                <w:rFonts w:asciiTheme="minorHAnsi" w:hAnsiTheme="minorHAnsi" w:cs="Times New Roman"/>
                <w:b/>
                <w:i/>
                <w:iCs/>
                <w:color w:val="000000"/>
                <w:sz w:val="21"/>
                <w:szCs w:val="21"/>
              </w:rPr>
              <w:t>70 % of MEB</w:t>
            </w:r>
          </w:p>
        </w:tc>
        <w:tc>
          <w:tcPr>
            <w:tcW w:w="1170" w:type="dxa"/>
            <w:shd w:val="clear" w:color="E4DFEC" w:fill="E4DFEC"/>
            <w:noWrap/>
            <w:tcMar>
              <w:left w:w="58" w:type="dxa"/>
              <w:right w:w="58" w:type="dxa"/>
            </w:tcMar>
            <w:vAlign w:val="bottom"/>
          </w:tcPr>
          <w:p w:rsidR="00060068" w:rsidRPr="00100872" w:rsidRDefault="00060068" w:rsidP="005B072F">
            <w:pPr>
              <w:jc w:val="right"/>
              <w:rPr>
                <w:rFonts w:asciiTheme="minorHAnsi" w:hAnsiTheme="minorHAnsi" w:cs="Times New Roman"/>
                <w:b/>
                <w:bCs/>
                <w:i/>
                <w:iCs/>
                <w:color w:val="000000"/>
                <w:sz w:val="21"/>
                <w:szCs w:val="21"/>
              </w:rPr>
            </w:pPr>
            <w:r w:rsidRPr="00100872">
              <w:rPr>
                <w:rFonts w:asciiTheme="minorHAnsi" w:hAnsiTheme="minorHAnsi" w:cs="Times New Roman"/>
                <w:b/>
                <w:bCs/>
                <w:i/>
                <w:iCs/>
                <w:color w:val="000000"/>
                <w:sz w:val="21"/>
                <w:szCs w:val="21"/>
              </w:rPr>
              <w:t>75 US$</w:t>
            </w:r>
          </w:p>
        </w:tc>
      </w:tr>
    </w:tbl>
    <w:p w:rsidR="00670A09" w:rsidRDefault="00670A09" w:rsidP="00060068"/>
    <w:tbl>
      <w:tblPr>
        <w:tblStyle w:val="TableGrid"/>
        <w:tblW w:w="0" w:type="auto"/>
        <w:tblLook w:val="04A0" w:firstRow="1" w:lastRow="0" w:firstColumn="1" w:lastColumn="0" w:noHBand="0" w:noVBand="1"/>
      </w:tblPr>
      <w:tblGrid>
        <w:gridCol w:w="9350"/>
      </w:tblGrid>
      <w:tr w:rsidR="00670A09" w:rsidTr="00670A09">
        <w:tc>
          <w:tcPr>
            <w:tcW w:w="9350" w:type="dxa"/>
          </w:tcPr>
          <w:p w:rsidR="00670A09" w:rsidRPr="00670A09" w:rsidRDefault="00670A09" w:rsidP="00670A09">
            <w:pPr>
              <w:pStyle w:val="Heading2"/>
              <w:outlineLvl w:val="1"/>
              <w:rPr>
                <w:b/>
                <w:bCs/>
                <w:sz w:val="24"/>
                <w:szCs w:val="24"/>
              </w:rPr>
            </w:pPr>
            <w:bookmarkStart w:id="2" w:name="_Toc464085212"/>
            <w:r w:rsidRPr="00670A09">
              <w:rPr>
                <w:b/>
                <w:bCs/>
                <w:sz w:val="24"/>
                <w:szCs w:val="24"/>
              </w:rPr>
              <w:t>How much of the MEB should your cash transfer cover?</w:t>
            </w:r>
            <w:bookmarkEnd w:id="2"/>
          </w:p>
          <w:p w:rsidR="00670A09" w:rsidRDefault="00670A09" w:rsidP="00670A09">
            <w:pPr>
              <w:ind w:left="720"/>
              <w:jc w:val="both"/>
            </w:pPr>
          </w:p>
          <w:p w:rsidR="00670A09" w:rsidRPr="00F57342" w:rsidRDefault="00670A09" w:rsidP="00670A09">
            <w:r>
              <w:t xml:space="preserve">In Nepal, the </w:t>
            </w:r>
            <w:r w:rsidRPr="00F57342">
              <w:t xml:space="preserve">MPG value </w:t>
            </w:r>
            <w:r w:rsidR="000C7843">
              <w:t>was</w:t>
            </w:r>
            <w:r w:rsidRPr="00F57342">
              <w:t xml:space="preserve"> based on a common understanding of the daily basic needs of households in the earthquake-affected districts.  It </w:t>
            </w:r>
            <w:r>
              <w:t>was</w:t>
            </w:r>
            <w:r w:rsidRPr="00F57342">
              <w:t xml:space="preserve"> recommended that 70% of the Minimum Expenditure Basket (MEB) should be provided </w:t>
            </w:r>
            <w:r w:rsidR="000C7843">
              <w:t>through multi-purpose cash grants</w:t>
            </w:r>
            <w:r w:rsidRPr="00F57342">
              <w:t>.</w:t>
            </w:r>
            <w:r>
              <w:t xml:space="preserve">  This was based on data indicating that people could cover about 30% of their needs on their own.  </w:t>
            </w:r>
            <w:r w:rsidRPr="00F57342">
              <w:t xml:space="preserve">The Cash Coordination Group </w:t>
            </w:r>
            <w:r>
              <w:t xml:space="preserve">in </w:t>
            </w:r>
            <w:proofErr w:type="spellStart"/>
            <w:r>
              <w:t>Gorkha</w:t>
            </w:r>
            <w:proofErr w:type="spellEnd"/>
            <w:r>
              <w:t xml:space="preserve"> District, </w:t>
            </w:r>
            <w:r w:rsidRPr="00F57342">
              <w:t>led by CRS</w:t>
            </w:r>
            <w:r>
              <w:t>,</w:t>
            </w:r>
            <w:r w:rsidRPr="00F57342">
              <w:t xml:space="preserve"> set the value of the </w:t>
            </w:r>
            <w:r>
              <w:t>Multi-</w:t>
            </w:r>
            <w:r w:rsidRPr="00F57342">
              <w:t xml:space="preserve">Purpose Grant cash transfer for livelihood assistance at US$75 according to the national MPG operational guidelines. </w:t>
            </w:r>
          </w:p>
          <w:p w:rsidR="00670A09" w:rsidRDefault="00670A09" w:rsidP="002F65CA">
            <w:pPr>
              <w:rPr>
                <w:rFonts w:cs="Times New Roman"/>
              </w:rPr>
            </w:pPr>
          </w:p>
        </w:tc>
      </w:tr>
    </w:tbl>
    <w:p w:rsidR="002F65CA" w:rsidRDefault="002F65CA" w:rsidP="002F65CA">
      <w:pPr>
        <w:rPr>
          <w:rFonts w:cs="Times New Roman"/>
        </w:rPr>
      </w:pPr>
    </w:p>
    <w:p w:rsidR="00B92953" w:rsidRDefault="00B92953" w:rsidP="00B92953">
      <w:pPr>
        <w:rPr>
          <w:rFonts w:cs="Times New Roman"/>
        </w:rPr>
      </w:pPr>
      <w:bookmarkStart w:id="3" w:name="_Toc464085213"/>
      <w:r w:rsidRPr="000C7843">
        <w:rPr>
          <w:rStyle w:val="Heading2Char"/>
          <w:b/>
          <w:bCs/>
          <w:sz w:val="24"/>
          <w:szCs w:val="24"/>
        </w:rPr>
        <w:t>Linking with government social assistance programs</w:t>
      </w:r>
      <w:bookmarkEnd w:id="3"/>
      <w:r w:rsidRPr="00B92953">
        <w:rPr>
          <w:rFonts w:asciiTheme="majorHAnsi" w:eastAsiaTheme="majorEastAsia" w:hAnsiTheme="majorHAnsi" w:cstheme="majorBidi"/>
          <w:b/>
          <w:bCs/>
          <w:color w:val="2E74B5" w:themeColor="accent1" w:themeShade="BF"/>
          <w:sz w:val="24"/>
          <w:szCs w:val="24"/>
        </w:rPr>
        <w:t>.</w:t>
      </w:r>
      <w:r>
        <w:rPr>
          <w:rFonts w:cs="Times New Roman"/>
        </w:rPr>
        <w:t xml:space="preserve">  </w:t>
      </w:r>
      <w:r>
        <w:rPr>
          <w:rFonts w:cs="Times New Roman"/>
        </w:rPr>
        <w:t>If there is an ongoing government social assistance program, be sure your cash program is appropriately linked to it.  You may need to consult local or national government before beginning your program.</w:t>
      </w:r>
    </w:p>
    <w:p w:rsidR="00060068" w:rsidRDefault="00060068" w:rsidP="002F65CA">
      <w:pPr>
        <w:rPr>
          <w:rFonts w:cs="Times New Roman"/>
        </w:rPr>
      </w:pPr>
    </w:p>
    <w:p w:rsidR="00670A09" w:rsidRDefault="00670A09" w:rsidP="002F65CA">
      <w:pPr>
        <w:rPr>
          <w:rFonts w:cs="Times New Roman"/>
        </w:rPr>
      </w:pPr>
    </w:p>
    <w:p w:rsidR="00203DA8" w:rsidRDefault="002F65CA" w:rsidP="002F65CA">
      <w:pPr>
        <w:rPr>
          <w:rFonts w:cs="Times New Roman"/>
        </w:rPr>
      </w:pPr>
      <w:r>
        <w:rPr>
          <w:rFonts w:cs="Times New Roman"/>
        </w:rPr>
        <w:t>If your program has specific sectoral needs, consider the below:</w:t>
      </w:r>
    </w:p>
    <w:p w:rsidR="00203DA8" w:rsidRPr="002F65CA" w:rsidRDefault="00203DA8" w:rsidP="002F65CA">
      <w:pPr>
        <w:rPr>
          <w:rFonts w:cs="Times New Roman"/>
        </w:rPr>
      </w:pPr>
    </w:p>
    <w:p w:rsidR="002F65CA" w:rsidRPr="00670A09" w:rsidRDefault="00670A09" w:rsidP="00670A09">
      <w:pPr>
        <w:rPr>
          <w:rFonts w:cs="Times New Roman"/>
        </w:rPr>
      </w:pPr>
      <w:bookmarkStart w:id="4" w:name="_Toc464085214"/>
      <w:r w:rsidRPr="00670A09">
        <w:rPr>
          <w:rStyle w:val="Heading1Char"/>
          <w:b/>
          <w:bCs/>
          <w:sz w:val="24"/>
          <w:szCs w:val="24"/>
        </w:rPr>
        <w:t>II</w:t>
      </w:r>
      <w:proofErr w:type="gramStart"/>
      <w:r w:rsidRPr="00670A09">
        <w:rPr>
          <w:rStyle w:val="Heading1Char"/>
          <w:b/>
          <w:bCs/>
          <w:sz w:val="24"/>
          <w:szCs w:val="24"/>
        </w:rPr>
        <w:t>.  FOOD</w:t>
      </w:r>
      <w:proofErr w:type="gramEnd"/>
      <w:r w:rsidRPr="00670A09">
        <w:rPr>
          <w:rStyle w:val="Heading1Char"/>
          <w:b/>
          <w:bCs/>
          <w:sz w:val="24"/>
          <w:szCs w:val="24"/>
        </w:rPr>
        <w:t>.</w:t>
      </w:r>
      <w:bookmarkEnd w:id="4"/>
      <w:r>
        <w:rPr>
          <w:rFonts w:cs="Times New Roman"/>
          <w:b/>
          <w:bCs/>
        </w:rPr>
        <w:t xml:space="preserve">  </w:t>
      </w:r>
      <w:r w:rsidR="002F65CA" w:rsidRPr="00670A09">
        <w:rPr>
          <w:rFonts w:cs="Times New Roman"/>
          <w:b/>
          <w:bCs/>
        </w:rPr>
        <w:t>For specialized food needs</w:t>
      </w:r>
      <w:r w:rsidR="002F65CA" w:rsidRPr="00670A09">
        <w:rPr>
          <w:rFonts w:cs="Times New Roman"/>
        </w:rPr>
        <w:t xml:space="preserve">, set the CT value based on a food consumption gap.  </w:t>
      </w:r>
      <w:r w:rsidR="00060068" w:rsidRPr="00670A09">
        <w:rPr>
          <w:rFonts w:cs="Times New Roman"/>
        </w:rPr>
        <w:t xml:space="preserve">(See diagram below.)  </w:t>
      </w:r>
    </w:p>
    <w:p w:rsidR="002F65CA" w:rsidRDefault="002F65CA" w:rsidP="002F65CA">
      <w:pPr>
        <w:rPr>
          <w:rFonts w:cs="Times New Roman"/>
        </w:rPr>
      </w:pPr>
      <w:r>
        <w:rPr>
          <w:noProof/>
          <w:lang w:bidi="ne-NP"/>
        </w:rPr>
        <w:drawing>
          <wp:inline distT="0" distB="0" distL="0" distR="0" wp14:anchorId="0FB22039" wp14:editId="61EBC7B0">
            <wp:extent cx="5695950" cy="394195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000" t="25940" r="24519" b="11916"/>
                    <a:stretch/>
                  </pic:blipFill>
                  <pic:spPr bwMode="auto">
                    <a:xfrm>
                      <a:off x="0" y="0"/>
                      <a:ext cx="5700973" cy="3945435"/>
                    </a:xfrm>
                    <a:prstGeom prst="rect">
                      <a:avLst/>
                    </a:prstGeom>
                    <a:ln>
                      <a:noFill/>
                    </a:ln>
                    <a:extLst>
                      <a:ext uri="{53640926-AAD7-44D8-BBD7-CCE9431645EC}">
                        <a14:shadowObscured xmlns:a14="http://schemas.microsoft.com/office/drawing/2010/main"/>
                      </a:ext>
                    </a:extLst>
                  </pic:spPr>
                </pic:pic>
              </a:graphicData>
            </a:graphic>
          </wp:inline>
        </w:drawing>
      </w:r>
    </w:p>
    <w:p w:rsidR="002F65CA" w:rsidRDefault="002F65CA" w:rsidP="00670A09">
      <w:pPr>
        <w:rPr>
          <w:rFonts w:cs="Times New Roman"/>
        </w:rPr>
      </w:pPr>
      <w:r>
        <w:rPr>
          <w:rFonts w:cs="Times New Roman"/>
        </w:rPr>
        <w:t>[</w:t>
      </w:r>
      <w:hyperlink r:id="rId10" w:history="1">
        <w:r w:rsidRPr="002F65CA">
          <w:rPr>
            <w:rStyle w:val="Hyperlink"/>
            <w:rFonts w:cs="Times New Roman"/>
          </w:rPr>
          <w:t>Source:  WFP</w:t>
        </w:r>
        <w:r>
          <w:rPr>
            <w:rStyle w:val="Hyperlink"/>
            <w:rFonts w:cs="Times New Roman"/>
          </w:rPr>
          <w:t xml:space="preserve">. 2014. </w:t>
        </w:r>
        <w:r w:rsidRPr="002F65CA">
          <w:rPr>
            <w:rStyle w:val="Hyperlink"/>
            <w:rFonts w:cs="Times New Roman"/>
          </w:rPr>
          <w:t xml:space="preserve"> Cash and Voucher</w:t>
        </w:r>
        <w:r>
          <w:rPr>
            <w:rStyle w:val="Hyperlink"/>
            <w:rFonts w:cs="Times New Roman"/>
          </w:rPr>
          <w:t>s</w:t>
        </w:r>
        <w:r w:rsidRPr="002F65CA">
          <w:rPr>
            <w:rStyle w:val="Hyperlink"/>
            <w:rFonts w:cs="Times New Roman"/>
          </w:rPr>
          <w:t xml:space="preserve"> Manual.  Rome.  p.43</w:t>
        </w:r>
      </w:hyperlink>
      <w:r>
        <w:rPr>
          <w:rFonts w:cs="Times New Roman"/>
        </w:rPr>
        <w:t>.]</w:t>
      </w:r>
    </w:p>
    <w:p w:rsidR="002F65CA" w:rsidRDefault="002F65CA" w:rsidP="002F65CA">
      <w:pPr>
        <w:rPr>
          <w:rFonts w:cs="Times New Roman"/>
        </w:rPr>
      </w:pPr>
      <w:r>
        <w:rPr>
          <w:rFonts w:cs="Times New Roman"/>
        </w:rPr>
        <w:t xml:space="preserve">  </w:t>
      </w:r>
    </w:p>
    <w:p w:rsidR="000C7843" w:rsidRDefault="000C7843" w:rsidP="002F65CA">
      <w:pPr>
        <w:rPr>
          <w:rFonts w:cs="Times New Roman"/>
        </w:rPr>
      </w:pPr>
    </w:p>
    <w:p w:rsidR="000C7843" w:rsidRDefault="000C7843" w:rsidP="002F65CA">
      <w:pPr>
        <w:rPr>
          <w:rFonts w:cs="Times New Roman"/>
        </w:rPr>
      </w:pPr>
    </w:p>
    <w:p w:rsidR="00670A09" w:rsidRDefault="00670A09" w:rsidP="002F65CA">
      <w:pPr>
        <w:rPr>
          <w:rFonts w:cs="Times New Roman"/>
        </w:rPr>
      </w:pPr>
      <w:r>
        <w:rPr>
          <w:rFonts w:cs="Times New Roman"/>
        </w:rPr>
        <w:lastRenderedPageBreak/>
        <w:t xml:space="preserve">To set the cash transfer value for food programming:  </w:t>
      </w:r>
    </w:p>
    <w:p w:rsidR="00670A09" w:rsidRDefault="00670A09" w:rsidP="002F65CA">
      <w:pPr>
        <w:rPr>
          <w:rFonts w:cs="Times New Roman"/>
        </w:rPr>
      </w:pPr>
    </w:p>
    <w:p w:rsidR="00060068" w:rsidRDefault="00060068" w:rsidP="00060068">
      <w:pPr>
        <w:pStyle w:val="ListParagraph"/>
        <w:numPr>
          <w:ilvl w:val="0"/>
          <w:numId w:val="2"/>
        </w:numPr>
        <w:rPr>
          <w:rFonts w:cs="Times New Roman"/>
        </w:rPr>
      </w:pPr>
      <w:r w:rsidRPr="00060068">
        <w:rPr>
          <w:rFonts w:cs="Times New Roman"/>
        </w:rPr>
        <w:t>First, identify main foods in the local diet that make up 2,100 kcal/ p/ day, considering adequate protein, fats, and micronutrients.</w:t>
      </w:r>
    </w:p>
    <w:p w:rsidR="00670A09" w:rsidRPr="00060068" w:rsidRDefault="00670A09" w:rsidP="00670A09">
      <w:pPr>
        <w:pStyle w:val="ListParagraph"/>
        <w:ind w:left="1080"/>
        <w:rPr>
          <w:rFonts w:cs="Times New Roman"/>
        </w:rPr>
      </w:pPr>
    </w:p>
    <w:p w:rsidR="00060068" w:rsidRDefault="00060068" w:rsidP="00060068">
      <w:pPr>
        <w:pStyle w:val="ListParagraph"/>
        <w:numPr>
          <w:ilvl w:val="0"/>
          <w:numId w:val="2"/>
        </w:numPr>
        <w:rPr>
          <w:rFonts w:cs="Times New Roman"/>
        </w:rPr>
      </w:pPr>
      <w:r w:rsidRPr="00060068">
        <w:rPr>
          <w:rFonts w:cs="Times New Roman"/>
        </w:rPr>
        <w:t>Identify the food gap your program seeks to address (see above table).</w:t>
      </w:r>
    </w:p>
    <w:p w:rsidR="00670A09" w:rsidRPr="00670A09" w:rsidRDefault="00670A09" w:rsidP="00670A09">
      <w:pPr>
        <w:rPr>
          <w:rFonts w:cs="Times New Roman"/>
        </w:rPr>
      </w:pPr>
    </w:p>
    <w:p w:rsidR="00060068" w:rsidRDefault="00060068" w:rsidP="00060068">
      <w:pPr>
        <w:pStyle w:val="ListParagraph"/>
        <w:numPr>
          <w:ilvl w:val="0"/>
          <w:numId w:val="2"/>
        </w:numPr>
        <w:rPr>
          <w:rFonts w:cs="Times New Roman"/>
        </w:rPr>
      </w:pPr>
      <w:r w:rsidRPr="00060068">
        <w:rPr>
          <w:rFonts w:cs="Times New Roman"/>
        </w:rPr>
        <w:t>Create a list of local foods that can fill the food gap; this is your food basket.</w:t>
      </w:r>
    </w:p>
    <w:p w:rsidR="00670A09" w:rsidRPr="00670A09" w:rsidRDefault="00670A09" w:rsidP="00670A09">
      <w:pPr>
        <w:pStyle w:val="ListParagraph"/>
        <w:rPr>
          <w:rFonts w:cs="Times New Roman"/>
        </w:rPr>
      </w:pPr>
    </w:p>
    <w:p w:rsidR="00060068" w:rsidRDefault="00060068" w:rsidP="00060068">
      <w:pPr>
        <w:pStyle w:val="ListParagraph"/>
        <w:numPr>
          <w:ilvl w:val="0"/>
          <w:numId w:val="2"/>
        </w:numPr>
        <w:rPr>
          <w:rFonts w:cs="Times New Roman"/>
        </w:rPr>
      </w:pPr>
      <w:r w:rsidRPr="00060068">
        <w:rPr>
          <w:rFonts w:cs="Times New Roman"/>
        </w:rPr>
        <w:t xml:space="preserve">Estimate the cost of each item in the food basket, and provide enough cash for people to be able to meet their consumption gap.  </w:t>
      </w:r>
    </w:p>
    <w:p w:rsidR="00670A09" w:rsidRPr="00670A09" w:rsidRDefault="00670A09" w:rsidP="00670A09">
      <w:pPr>
        <w:rPr>
          <w:rFonts w:cs="Times New Roman"/>
        </w:rPr>
      </w:pPr>
    </w:p>
    <w:p w:rsidR="00060068" w:rsidRPr="00060068" w:rsidRDefault="00060068" w:rsidP="00060068">
      <w:pPr>
        <w:pStyle w:val="ListParagraph"/>
        <w:numPr>
          <w:ilvl w:val="0"/>
          <w:numId w:val="2"/>
        </w:numPr>
        <w:rPr>
          <w:rFonts w:cs="Times New Roman"/>
        </w:rPr>
      </w:pPr>
      <w:r w:rsidRPr="00060068">
        <w:rPr>
          <w:rFonts w:cs="Times New Roman"/>
        </w:rPr>
        <w:t>If specific nutritional outcomes are expected, use either conditional cash, vouchers, or in-kind assistance to assure consumption of specialized nutrition.</w:t>
      </w:r>
    </w:p>
    <w:p w:rsidR="00060068" w:rsidRDefault="00060068" w:rsidP="002F65CA">
      <w:pPr>
        <w:rPr>
          <w:rFonts w:cs="Times New Roman"/>
        </w:rPr>
      </w:pPr>
    </w:p>
    <w:p w:rsidR="00203DA8" w:rsidRPr="002F65CA" w:rsidRDefault="00203DA8" w:rsidP="002F65CA">
      <w:pPr>
        <w:rPr>
          <w:rFonts w:cs="Times New Roman"/>
        </w:rPr>
      </w:pPr>
    </w:p>
    <w:p w:rsidR="00203DA8" w:rsidRPr="00203DA8" w:rsidRDefault="00670A09" w:rsidP="00203DA8">
      <w:pPr>
        <w:rPr>
          <w:rFonts w:cs="Times New Roman"/>
        </w:rPr>
      </w:pPr>
      <w:bookmarkStart w:id="5" w:name="_Toc464085215"/>
      <w:r w:rsidRPr="00670A09">
        <w:rPr>
          <w:rStyle w:val="Heading1Char"/>
          <w:b/>
          <w:bCs/>
          <w:sz w:val="24"/>
          <w:szCs w:val="24"/>
        </w:rPr>
        <w:t>III</w:t>
      </w:r>
      <w:proofErr w:type="gramStart"/>
      <w:r w:rsidRPr="00670A09">
        <w:rPr>
          <w:rStyle w:val="Heading1Char"/>
          <w:b/>
          <w:bCs/>
          <w:sz w:val="24"/>
          <w:szCs w:val="24"/>
        </w:rPr>
        <w:t>.  SHELTER</w:t>
      </w:r>
      <w:proofErr w:type="gramEnd"/>
      <w:r w:rsidRPr="00670A09">
        <w:rPr>
          <w:rStyle w:val="Heading1Char"/>
          <w:b/>
          <w:bCs/>
          <w:sz w:val="24"/>
          <w:szCs w:val="24"/>
        </w:rPr>
        <w:t>.</w:t>
      </w:r>
      <w:bookmarkEnd w:id="5"/>
      <w:r>
        <w:rPr>
          <w:rFonts w:cs="Times New Roman"/>
          <w:b/>
          <w:bCs/>
        </w:rPr>
        <w:t xml:space="preserve">  </w:t>
      </w:r>
      <w:r w:rsidR="002F65CA" w:rsidRPr="00203DA8">
        <w:rPr>
          <w:rFonts w:cs="Times New Roman"/>
          <w:b/>
          <w:bCs/>
        </w:rPr>
        <w:t>For specialized shelter needs</w:t>
      </w:r>
      <w:r w:rsidR="002F65CA" w:rsidRPr="00203DA8">
        <w:rPr>
          <w:rFonts w:cs="Times New Roman"/>
        </w:rPr>
        <w:t xml:space="preserve">, set the CT value based on costs of shelter materials and services; assume that people will also spend some of their cash on food or other needs.  Use an MEB, with additional costs for shelter.  </w:t>
      </w:r>
    </w:p>
    <w:p w:rsidR="00203DA8" w:rsidRDefault="00203DA8" w:rsidP="00203DA8">
      <w:pPr>
        <w:rPr>
          <w:rFonts w:cs="Times New Roman"/>
        </w:rPr>
      </w:pPr>
    </w:p>
    <w:p w:rsidR="00203DA8" w:rsidRDefault="00203DA8" w:rsidP="00203DA8">
      <w:pPr>
        <w:rPr>
          <w:rFonts w:cs="Times New Roman"/>
        </w:rPr>
      </w:pPr>
      <w:r>
        <w:rPr>
          <w:rFonts w:cs="Times New Roman"/>
        </w:rPr>
        <w:t xml:space="preserve">Below is a screenshot of part of an MEB used in </w:t>
      </w:r>
      <w:proofErr w:type="gramStart"/>
      <w:r>
        <w:rPr>
          <w:rFonts w:cs="Times New Roman"/>
        </w:rPr>
        <w:t>Nepal.</w:t>
      </w:r>
      <w:proofErr w:type="gramEnd"/>
      <w:r>
        <w:rPr>
          <w:rFonts w:cs="Times New Roman"/>
        </w:rPr>
        <w:t xml:space="preserve">  In addition to food, water, and basic items, it included some shelter and NFI materials that people would likely need to purchase </w:t>
      </w:r>
      <w:r w:rsidRPr="00203DA8">
        <w:rPr>
          <w:rFonts w:cs="Times New Roman"/>
          <w:b/>
          <w:bCs/>
          <w:i/>
          <w:iCs/>
        </w:rPr>
        <w:t>once only</w:t>
      </w:r>
      <w:r>
        <w:rPr>
          <w:rFonts w:cs="Times New Roman"/>
        </w:rPr>
        <w:t>.</w:t>
      </w:r>
    </w:p>
    <w:p w:rsidR="00203DA8" w:rsidRDefault="00203DA8" w:rsidP="00203DA8">
      <w:pPr>
        <w:ind w:left="720"/>
        <w:rPr>
          <w:rFonts w:cs="Times New Roman"/>
        </w:rPr>
      </w:pPr>
    </w:p>
    <w:p w:rsidR="00203DA8" w:rsidRPr="00203DA8" w:rsidRDefault="00203DA8" w:rsidP="00670A09">
      <w:pPr>
        <w:rPr>
          <w:rFonts w:cs="Times New Roman"/>
        </w:rPr>
      </w:pPr>
      <w:r>
        <w:rPr>
          <w:noProof/>
          <w:lang w:bidi="ne-NP"/>
        </w:rPr>
        <w:drawing>
          <wp:inline distT="0" distB="0" distL="0" distR="0" wp14:anchorId="0548271B" wp14:editId="7459B8F1">
            <wp:extent cx="5506811" cy="405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851" r="33013" b="9350"/>
                    <a:stretch/>
                  </pic:blipFill>
                  <pic:spPr bwMode="auto">
                    <a:xfrm>
                      <a:off x="0" y="0"/>
                      <a:ext cx="5509515" cy="4059642"/>
                    </a:xfrm>
                    <a:prstGeom prst="rect">
                      <a:avLst/>
                    </a:prstGeom>
                    <a:ln>
                      <a:noFill/>
                    </a:ln>
                    <a:extLst>
                      <a:ext uri="{53640926-AAD7-44D8-BBD7-CCE9431645EC}">
                        <a14:shadowObscured xmlns:a14="http://schemas.microsoft.com/office/drawing/2010/main"/>
                      </a:ext>
                    </a:extLst>
                  </pic:spPr>
                </pic:pic>
              </a:graphicData>
            </a:graphic>
          </wp:inline>
        </w:drawing>
      </w:r>
    </w:p>
    <w:p w:rsidR="00203DA8" w:rsidRDefault="00203DA8" w:rsidP="00203DA8">
      <w:pPr>
        <w:pStyle w:val="ListParagraph"/>
        <w:rPr>
          <w:rFonts w:cs="Times New Roman"/>
        </w:rPr>
      </w:pPr>
    </w:p>
    <w:tbl>
      <w:tblPr>
        <w:tblStyle w:val="TableGrid"/>
        <w:tblW w:w="0" w:type="auto"/>
        <w:tblInd w:w="-5" w:type="dxa"/>
        <w:tblLook w:val="04A0" w:firstRow="1" w:lastRow="0" w:firstColumn="1" w:lastColumn="0" w:noHBand="0" w:noVBand="1"/>
      </w:tblPr>
      <w:tblGrid>
        <w:gridCol w:w="8630"/>
      </w:tblGrid>
      <w:tr w:rsidR="00203DA8" w:rsidTr="00670A09">
        <w:tc>
          <w:tcPr>
            <w:tcW w:w="8630" w:type="dxa"/>
          </w:tcPr>
          <w:p w:rsidR="00203DA8" w:rsidRPr="00670A09" w:rsidRDefault="00670A09" w:rsidP="00670A09">
            <w:pPr>
              <w:pStyle w:val="Heading2"/>
              <w:outlineLvl w:val="1"/>
              <w:rPr>
                <w:b/>
                <w:bCs/>
                <w:sz w:val="24"/>
                <w:szCs w:val="24"/>
              </w:rPr>
            </w:pPr>
            <w:bookmarkStart w:id="6" w:name="_Toc464085216"/>
            <w:r>
              <w:rPr>
                <w:b/>
                <w:bCs/>
                <w:sz w:val="24"/>
                <w:szCs w:val="24"/>
              </w:rPr>
              <w:lastRenderedPageBreak/>
              <w:t xml:space="preserve">Using tranches to ensure </w:t>
            </w:r>
            <w:r w:rsidR="00203DA8" w:rsidRPr="00670A09">
              <w:rPr>
                <w:b/>
                <w:bCs/>
                <w:sz w:val="24"/>
                <w:szCs w:val="24"/>
              </w:rPr>
              <w:t>quality</w:t>
            </w:r>
            <w:r w:rsidRPr="00670A09">
              <w:rPr>
                <w:b/>
                <w:bCs/>
                <w:sz w:val="24"/>
                <w:szCs w:val="24"/>
              </w:rPr>
              <w:t xml:space="preserve"> in shelter programs</w:t>
            </w:r>
            <w:bookmarkEnd w:id="6"/>
          </w:p>
          <w:p w:rsidR="00203DA8" w:rsidRPr="00203DA8" w:rsidRDefault="00203DA8" w:rsidP="00203DA8">
            <w:pPr>
              <w:rPr>
                <w:rFonts w:cs="Times New Roman"/>
                <w:b/>
                <w:bCs/>
              </w:rPr>
            </w:pPr>
          </w:p>
          <w:p w:rsidR="00203DA8" w:rsidRPr="00203DA8" w:rsidRDefault="00203DA8" w:rsidP="00203DA8">
            <w:pPr>
              <w:rPr>
                <w:rFonts w:cs="Times New Roman"/>
              </w:rPr>
            </w:pPr>
            <w:r w:rsidRPr="00203DA8">
              <w:rPr>
                <w:rFonts w:cs="Times New Roman"/>
              </w:rPr>
              <w:t xml:space="preserve">If quality is a concern, consider providing cash in tranches, with the next tranche given if housing specifications are met.   </w:t>
            </w:r>
            <w:hyperlink r:id="rId12" w:history="1">
              <w:r w:rsidRPr="00203DA8">
                <w:rPr>
                  <w:rStyle w:val="Hyperlink"/>
                  <w:rFonts w:cs="Times New Roman"/>
                </w:rPr>
                <w:t>Here</w:t>
              </w:r>
            </w:hyperlink>
            <w:r w:rsidRPr="00203DA8">
              <w:rPr>
                <w:rFonts w:cs="Times New Roman"/>
              </w:rPr>
              <w:t xml:space="preserve"> is an assessment used in the Philippines to ensure quality before providing beneficiaries the next tranche (see Annexes, pp.11-16). </w:t>
            </w:r>
          </w:p>
          <w:p w:rsidR="00203DA8" w:rsidRDefault="00203DA8" w:rsidP="00060068">
            <w:pPr>
              <w:pStyle w:val="ListParagraph"/>
              <w:ind w:left="0"/>
              <w:rPr>
                <w:rFonts w:cs="Times New Roman"/>
              </w:rPr>
            </w:pPr>
          </w:p>
        </w:tc>
      </w:tr>
    </w:tbl>
    <w:p w:rsidR="00060068" w:rsidRDefault="00060068" w:rsidP="00060068">
      <w:pPr>
        <w:pStyle w:val="ListParagraph"/>
        <w:rPr>
          <w:rFonts w:cs="Times New Roman"/>
        </w:rPr>
      </w:pPr>
    </w:p>
    <w:p w:rsidR="00670A09" w:rsidRDefault="00670A09" w:rsidP="00060068">
      <w:pPr>
        <w:pStyle w:val="ListParagraph"/>
        <w:rPr>
          <w:rFonts w:cs="Times New Roman"/>
        </w:rPr>
      </w:pPr>
    </w:p>
    <w:p w:rsidR="002F65CA" w:rsidRPr="00670A09" w:rsidRDefault="00670A09" w:rsidP="00670A09">
      <w:pPr>
        <w:rPr>
          <w:rFonts w:cs="Times New Roman"/>
        </w:rPr>
      </w:pPr>
      <w:bookmarkStart w:id="7" w:name="_Toc464085217"/>
      <w:r w:rsidRPr="00670A09">
        <w:rPr>
          <w:rStyle w:val="Heading1Char"/>
          <w:b/>
          <w:bCs/>
          <w:sz w:val="24"/>
          <w:szCs w:val="24"/>
        </w:rPr>
        <w:t>III</w:t>
      </w:r>
      <w:proofErr w:type="gramStart"/>
      <w:r w:rsidRPr="00670A09">
        <w:rPr>
          <w:rStyle w:val="Heading1Char"/>
          <w:b/>
          <w:bCs/>
          <w:sz w:val="24"/>
          <w:szCs w:val="24"/>
        </w:rPr>
        <w:t>.  WASH</w:t>
      </w:r>
      <w:proofErr w:type="gramEnd"/>
      <w:r w:rsidRPr="00670A09">
        <w:rPr>
          <w:rStyle w:val="Heading1Char"/>
          <w:b/>
          <w:bCs/>
          <w:sz w:val="24"/>
          <w:szCs w:val="24"/>
        </w:rPr>
        <w:t>.</w:t>
      </w:r>
      <w:bookmarkEnd w:id="7"/>
      <w:r>
        <w:rPr>
          <w:rFonts w:cs="Times New Roman"/>
          <w:b/>
          <w:bCs/>
        </w:rPr>
        <w:t xml:space="preserve">  </w:t>
      </w:r>
      <w:r w:rsidR="002F65CA" w:rsidRPr="00670A09">
        <w:rPr>
          <w:rFonts w:cs="Times New Roman"/>
          <w:b/>
          <w:bCs/>
        </w:rPr>
        <w:t>For specialized WASH needs</w:t>
      </w:r>
      <w:r w:rsidR="002F65CA" w:rsidRPr="00670A09">
        <w:rPr>
          <w:rFonts w:cs="Times New Roman"/>
        </w:rPr>
        <w:t>, set the CT value based on costs of WASH materials and services; assume that people will also spend some of their cash on food or other needs.  Use an MEB, with additional costs for WASH needs.</w:t>
      </w:r>
    </w:p>
    <w:p w:rsidR="00670A09" w:rsidRDefault="00670A09" w:rsidP="00670A09">
      <w:pPr>
        <w:rPr>
          <w:rFonts w:cs="Times New Roman"/>
          <w:b/>
          <w:bCs/>
        </w:rPr>
      </w:pPr>
    </w:p>
    <w:p w:rsidR="00203DA8" w:rsidRPr="00670A09" w:rsidRDefault="00203DA8" w:rsidP="00670A09">
      <w:pPr>
        <w:rPr>
          <w:rFonts w:cs="Times New Roman"/>
        </w:rPr>
      </w:pPr>
      <w:r w:rsidRPr="00670A09">
        <w:rPr>
          <w:rFonts w:cs="Times New Roman"/>
        </w:rPr>
        <w:t>The above MEB from Nepal includes some WASH needs, as an example.</w:t>
      </w:r>
    </w:p>
    <w:p w:rsidR="00203DA8" w:rsidRDefault="00203DA8" w:rsidP="00203DA8">
      <w:pPr>
        <w:ind w:left="360"/>
        <w:rPr>
          <w:rFonts w:cs="Times New Roman"/>
        </w:rPr>
      </w:pPr>
    </w:p>
    <w:p w:rsidR="00203DA8" w:rsidRPr="00203DA8" w:rsidRDefault="00203DA8" w:rsidP="00203DA8">
      <w:pPr>
        <w:ind w:left="360"/>
        <w:rPr>
          <w:rFonts w:cs="Times New Roman"/>
        </w:rPr>
      </w:pPr>
    </w:p>
    <w:p w:rsidR="002F65CA" w:rsidRPr="00670A09" w:rsidRDefault="00670A09" w:rsidP="00670A09">
      <w:pPr>
        <w:rPr>
          <w:rFonts w:cs="Times New Roman"/>
        </w:rPr>
      </w:pPr>
      <w:bookmarkStart w:id="8" w:name="_Toc464085218"/>
      <w:r w:rsidRPr="00670A09">
        <w:rPr>
          <w:rStyle w:val="Heading1Char"/>
          <w:b/>
          <w:bCs/>
          <w:sz w:val="24"/>
          <w:szCs w:val="24"/>
        </w:rPr>
        <w:t>IV</w:t>
      </w:r>
      <w:proofErr w:type="gramStart"/>
      <w:r w:rsidRPr="00670A09">
        <w:rPr>
          <w:rStyle w:val="Heading1Char"/>
          <w:b/>
          <w:bCs/>
          <w:sz w:val="24"/>
          <w:szCs w:val="24"/>
        </w:rPr>
        <w:t>.  OTHER</w:t>
      </w:r>
      <w:proofErr w:type="gramEnd"/>
      <w:r w:rsidRPr="00670A09">
        <w:rPr>
          <w:rStyle w:val="Heading1Char"/>
          <w:b/>
          <w:bCs/>
          <w:sz w:val="24"/>
          <w:szCs w:val="24"/>
        </w:rPr>
        <w:t>.</w:t>
      </w:r>
      <w:bookmarkEnd w:id="8"/>
      <w:r>
        <w:rPr>
          <w:rFonts w:cs="Times New Roman"/>
          <w:b/>
          <w:bCs/>
        </w:rPr>
        <w:t xml:space="preserve">  </w:t>
      </w:r>
      <w:r w:rsidR="002F65CA" w:rsidRPr="00670A09">
        <w:rPr>
          <w:rFonts w:cs="Times New Roman"/>
          <w:b/>
          <w:bCs/>
        </w:rPr>
        <w:t>For other specialized needs</w:t>
      </w:r>
      <w:r w:rsidR="002F65CA" w:rsidRPr="00670A09">
        <w:rPr>
          <w:rFonts w:cs="Times New Roman"/>
        </w:rPr>
        <w:t>, create a Minimum Expenditure Basket, with additional costs for specialized needs.  Remember that, if needs are very specialized or require behavior change, then vouchers, conditional cash, or in-kind may be the best responses.</w:t>
      </w:r>
    </w:p>
    <w:p w:rsidR="002F65CA" w:rsidRDefault="002F65CA"/>
    <w:sectPr w:rsidR="002F65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A43" w:rsidRDefault="00B43A43" w:rsidP="00DA4A72">
      <w:r>
        <w:separator/>
      </w:r>
    </w:p>
  </w:endnote>
  <w:endnote w:type="continuationSeparator" w:id="0">
    <w:p w:rsidR="00B43A43" w:rsidRDefault="00B43A43" w:rsidP="00DA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564788"/>
      <w:docPartObj>
        <w:docPartGallery w:val="Page Numbers (Bottom of Page)"/>
        <w:docPartUnique/>
      </w:docPartObj>
    </w:sdtPr>
    <w:sdtEndPr>
      <w:rPr>
        <w:noProof/>
      </w:rPr>
    </w:sdtEndPr>
    <w:sdtContent>
      <w:p w:rsidR="00DA4A72" w:rsidRDefault="00DA4A72">
        <w:pPr>
          <w:pStyle w:val="Footer"/>
          <w:jc w:val="right"/>
        </w:pPr>
        <w:r>
          <w:fldChar w:fldCharType="begin"/>
        </w:r>
        <w:r>
          <w:instrText xml:space="preserve"> PAGE   \* MERGEFORMAT </w:instrText>
        </w:r>
        <w:r>
          <w:fldChar w:fldCharType="separate"/>
        </w:r>
        <w:r w:rsidR="000C7843">
          <w:rPr>
            <w:noProof/>
          </w:rPr>
          <w:t>1</w:t>
        </w:r>
        <w:r>
          <w:rPr>
            <w:noProof/>
          </w:rPr>
          <w:fldChar w:fldCharType="end"/>
        </w:r>
      </w:p>
    </w:sdtContent>
  </w:sdt>
  <w:p w:rsidR="00DA4A72" w:rsidRDefault="00DA4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A43" w:rsidRDefault="00B43A43" w:rsidP="00DA4A72">
      <w:r>
        <w:separator/>
      </w:r>
    </w:p>
  </w:footnote>
  <w:footnote w:type="continuationSeparator" w:id="0">
    <w:p w:rsidR="00B43A43" w:rsidRDefault="00B43A43" w:rsidP="00DA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828A3"/>
    <w:multiLevelType w:val="hybridMultilevel"/>
    <w:tmpl w:val="67F6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41A0B"/>
    <w:multiLevelType w:val="hybridMultilevel"/>
    <w:tmpl w:val="894CB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CA"/>
    <w:rsid w:val="00060068"/>
    <w:rsid w:val="000C7843"/>
    <w:rsid w:val="00203DA8"/>
    <w:rsid w:val="002B6560"/>
    <w:rsid w:val="002F65CA"/>
    <w:rsid w:val="00466C9E"/>
    <w:rsid w:val="00670A09"/>
    <w:rsid w:val="00B43A43"/>
    <w:rsid w:val="00B92953"/>
    <w:rsid w:val="00DA4A7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AA9A3-58CF-4897-9C43-C3D516B6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CA"/>
    <w:pPr>
      <w:spacing w:after="0" w:line="240" w:lineRule="auto"/>
    </w:pPr>
    <w:rPr>
      <w:rFonts w:ascii="Calibri" w:eastAsia="Times New Roman" w:hAnsi="Calibri" w:cs="Arial"/>
      <w:szCs w:val="22"/>
      <w:lang w:bidi="ar-SA"/>
    </w:rPr>
  </w:style>
  <w:style w:type="paragraph" w:styleId="Heading1">
    <w:name w:val="heading 1"/>
    <w:basedOn w:val="Normal"/>
    <w:next w:val="Normal"/>
    <w:link w:val="Heading1Char"/>
    <w:uiPriority w:val="9"/>
    <w:qFormat/>
    <w:rsid w:val="00670A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0A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CA"/>
    <w:pPr>
      <w:ind w:left="720"/>
    </w:pPr>
  </w:style>
  <w:style w:type="character" w:styleId="Hyperlink">
    <w:name w:val="Hyperlink"/>
    <w:basedOn w:val="DefaultParagraphFont"/>
    <w:uiPriority w:val="99"/>
    <w:unhideWhenUsed/>
    <w:rsid w:val="002F65CA"/>
    <w:rPr>
      <w:color w:val="0563C1" w:themeColor="hyperlink"/>
      <w:u w:val="single"/>
    </w:rPr>
  </w:style>
  <w:style w:type="character" w:styleId="CommentReference">
    <w:name w:val="annotation reference"/>
    <w:basedOn w:val="DefaultParagraphFont"/>
    <w:uiPriority w:val="99"/>
    <w:semiHidden/>
    <w:unhideWhenUsed/>
    <w:rsid w:val="002F65CA"/>
    <w:rPr>
      <w:sz w:val="16"/>
      <w:szCs w:val="16"/>
    </w:rPr>
  </w:style>
  <w:style w:type="paragraph" w:styleId="CommentText">
    <w:name w:val="annotation text"/>
    <w:basedOn w:val="Normal"/>
    <w:link w:val="CommentTextChar"/>
    <w:uiPriority w:val="99"/>
    <w:unhideWhenUsed/>
    <w:rsid w:val="002F65CA"/>
    <w:rPr>
      <w:sz w:val="20"/>
      <w:szCs w:val="20"/>
    </w:rPr>
  </w:style>
  <w:style w:type="character" w:customStyle="1" w:styleId="CommentTextChar">
    <w:name w:val="Comment Text Char"/>
    <w:basedOn w:val="DefaultParagraphFont"/>
    <w:link w:val="CommentText"/>
    <w:uiPriority w:val="99"/>
    <w:rsid w:val="002F65CA"/>
    <w:rPr>
      <w:rFonts w:ascii="Calibri" w:eastAsia="Times New Roman" w:hAnsi="Calibri" w:cs="Arial"/>
      <w:sz w:val="20"/>
      <w:lang w:bidi="ar-SA"/>
    </w:rPr>
  </w:style>
  <w:style w:type="paragraph" w:styleId="BalloonText">
    <w:name w:val="Balloon Text"/>
    <w:basedOn w:val="Normal"/>
    <w:link w:val="BalloonTextChar"/>
    <w:uiPriority w:val="99"/>
    <w:semiHidden/>
    <w:unhideWhenUsed/>
    <w:rsid w:val="002F6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5CA"/>
    <w:rPr>
      <w:rFonts w:ascii="Segoe UI" w:eastAsia="Times New Roman" w:hAnsi="Segoe UI" w:cs="Segoe UI"/>
      <w:sz w:val="18"/>
      <w:szCs w:val="18"/>
      <w:lang w:bidi="ar-SA"/>
    </w:rPr>
  </w:style>
  <w:style w:type="table" w:styleId="TableGrid">
    <w:name w:val="Table Grid"/>
    <w:basedOn w:val="TableNormal"/>
    <w:uiPriority w:val="39"/>
    <w:rsid w:val="0020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0A09"/>
    <w:rPr>
      <w:rFonts w:asciiTheme="majorHAnsi" w:eastAsiaTheme="majorEastAsia" w:hAnsiTheme="majorHAnsi" w:cstheme="majorBidi"/>
      <w:color w:val="2E74B5" w:themeColor="accent1" w:themeShade="BF"/>
      <w:sz w:val="32"/>
      <w:szCs w:val="32"/>
      <w:lang w:bidi="ar-SA"/>
    </w:rPr>
  </w:style>
  <w:style w:type="paragraph" w:styleId="TOCHeading">
    <w:name w:val="TOC Heading"/>
    <w:basedOn w:val="Heading1"/>
    <w:next w:val="Normal"/>
    <w:uiPriority w:val="39"/>
    <w:unhideWhenUsed/>
    <w:qFormat/>
    <w:rsid w:val="00670A09"/>
    <w:pPr>
      <w:spacing w:line="259" w:lineRule="auto"/>
      <w:outlineLvl w:val="9"/>
    </w:pPr>
  </w:style>
  <w:style w:type="paragraph" w:styleId="TOC1">
    <w:name w:val="toc 1"/>
    <w:basedOn w:val="Normal"/>
    <w:next w:val="Normal"/>
    <w:autoRedefine/>
    <w:uiPriority w:val="39"/>
    <w:unhideWhenUsed/>
    <w:rsid w:val="00670A09"/>
    <w:pPr>
      <w:spacing w:after="100"/>
    </w:pPr>
  </w:style>
  <w:style w:type="character" w:customStyle="1" w:styleId="Heading2Char">
    <w:name w:val="Heading 2 Char"/>
    <w:basedOn w:val="DefaultParagraphFont"/>
    <w:link w:val="Heading2"/>
    <w:uiPriority w:val="9"/>
    <w:rsid w:val="00670A09"/>
    <w:rPr>
      <w:rFonts w:asciiTheme="majorHAnsi" w:eastAsiaTheme="majorEastAsia" w:hAnsiTheme="majorHAnsi" w:cstheme="majorBidi"/>
      <w:color w:val="2E74B5" w:themeColor="accent1" w:themeShade="BF"/>
      <w:sz w:val="26"/>
      <w:szCs w:val="26"/>
      <w:lang w:bidi="ar-SA"/>
    </w:rPr>
  </w:style>
  <w:style w:type="paragraph" w:styleId="TOC2">
    <w:name w:val="toc 2"/>
    <w:basedOn w:val="Normal"/>
    <w:next w:val="Normal"/>
    <w:autoRedefine/>
    <w:uiPriority w:val="39"/>
    <w:unhideWhenUsed/>
    <w:rsid w:val="00466C9E"/>
    <w:pPr>
      <w:spacing w:after="100"/>
      <w:ind w:left="220"/>
    </w:pPr>
  </w:style>
  <w:style w:type="paragraph" w:styleId="Header">
    <w:name w:val="header"/>
    <w:basedOn w:val="Normal"/>
    <w:link w:val="HeaderChar"/>
    <w:uiPriority w:val="99"/>
    <w:unhideWhenUsed/>
    <w:rsid w:val="00DA4A72"/>
    <w:pPr>
      <w:tabs>
        <w:tab w:val="center" w:pos="4680"/>
        <w:tab w:val="right" w:pos="9360"/>
      </w:tabs>
    </w:pPr>
  </w:style>
  <w:style w:type="character" w:customStyle="1" w:styleId="HeaderChar">
    <w:name w:val="Header Char"/>
    <w:basedOn w:val="DefaultParagraphFont"/>
    <w:link w:val="Header"/>
    <w:uiPriority w:val="99"/>
    <w:rsid w:val="00DA4A72"/>
    <w:rPr>
      <w:rFonts w:ascii="Calibri" w:eastAsia="Times New Roman" w:hAnsi="Calibri" w:cs="Arial"/>
      <w:szCs w:val="22"/>
      <w:lang w:bidi="ar-SA"/>
    </w:rPr>
  </w:style>
  <w:style w:type="paragraph" w:styleId="Footer">
    <w:name w:val="footer"/>
    <w:basedOn w:val="Normal"/>
    <w:link w:val="FooterChar"/>
    <w:uiPriority w:val="99"/>
    <w:unhideWhenUsed/>
    <w:rsid w:val="00DA4A72"/>
    <w:pPr>
      <w:tabs>
        <w:tab w:val="center" w:pos="4680"/>
        <w:tab w:val="right" w:pos="9360"/>
      </w:tabs>
    </w:pPr>
  </w:style>
  <w:style w:type="character" w:customStyle="1" w:styleId="FooterChar">
    <w:name w:val="Footer Char"/>
    <w:basedOn w:val="DefaultParagraphFont"/>
    <w:link w:val="Footer"/>
    <w:uiPriority w:val="99"/>
    <w:rsid w:val="00DA4A72"/>
    <w:rPr>
      <w:rFonts w:ascii="Calibri" w:eastAsia="Times New Roman" w:hAnsi="Calibri" w:cs="Ari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downloads/mpg-toolkit-pdfs/mpg-part3-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hlearning.org/downloads/crs-haiyancash-shelter-pilotmethodology-and-findings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uments.wfp.org/stellent/groups/public/documents/newsroom/wfp274576.pdf?_ga=1.51755616.893394902.14763334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76121-843E-40DD-BB11-3A3FA029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Brick, Geraldine (Dina)</dc:creator>
  <cp:keywords/>
  <dc:description/>
  <cp:lastModifiedBy>Brick, Geraldine (Dina)</cp:lastModifiedBy>
  <cp:revision>4</cp:revision>
  <dcterms:created xsi:type="dcterms:W3CDTF">2016-10-13T04:34:00Z</dcterms:created>
  <dcterms:modified xsi:type="dcterms:W3CDTF">2016-10-13T05:26:00Z</dcterms:modified>
</cp:coreProperties>
</file>