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8B" w:rsidRPr="008A3CC6" w:rsidRDefault="00C0690C" w:rsidP="00AD7A42">
      <w:pPr>
        <w:spacing w:line="240" w:lineRule="auto"/>
        <w:jc w:val="center"/>
        <w:rPr>
          <w:b/>
        </w:rPr>
      </w:pPr>
      <w:r w:rsidRPr="008A3CC6">
        <w:rPr>
          <w:b/>
        </w:rPr>
        <w:t xml:space="preserve">WORKSHEET </w:t>
      </w:r>
      <w:r w:rsidR="00B4256B">
        <w:rPr>
          <w:b/>
        </w:rPr>
        <w:t>9</w:t>
      </w:r>
      <w:bookmarkStart w:id="0" w:name="_GoBack"/>
      <w:bookmarkEnd w:id="0"/>
      <w:r w:rsidR="004165AE" w:rsidRPr="008A3CC6">
        <w:rPr>
          <w:b/>
        </w:rPr>
        <w:t xml:space="preserve">: </w:t>
      </w:r>
      <w:r w:rsidR="00250C22">
        <w:rPr>
          <w:b/>
        </w:rPr>
        <w:t>CURRENCY EXCHANGE RATES</w:t>
      </w:r>
    </w:p>
    <w:p w:rsidR="004165AE" w:rsidRPr="008A3CC6" w:rsidRDefault="00EB452D" w:rsidP="00AD7A42">
      <w:pPr>
        <w:spacing w:line="240" w:lineRule="auto"/>
      </w:pPr>
      <w:r w:rsidRPr="008A3CC6">
        <w:rPr>
          <w:b/>
        </w:rPr>
        <w:t>What it is</w:t>
      </w:r>
      <w:r w:rsidRPr="008A3CC6">
        <w:t>:</w:t>
      </w:r>
      <w:r w:rsidR="00CE63C5" w:rsidRPr="008A3CC6">
        <w:t xml:space="preserve"> </w:t>
      </w:r>
      <w:r w:rsidR="000D706C" w:rsidRPr="008A3CC6">
        <w:t>Exchange rates are the values of one country’s currency in relation to another currency. Changes in the exchange rate will cause prices to become more or less expensive relative to the prices in the other currency.</w:t>
      </w:r>
    </w:p>
    <w:p w:rsidR="00EB452D" w:rsidRPr="008A3CC6" w:rsidRDefault="00EB452D" w:rsidP="00AD7A42">
      <w:pPr>
        <w:spacing w:line="240" w:lineRule="auto"/>
      </w:pPr>
      <w:r w:rsidRPr="008A3CC6">
        <w:rPr>
          <w:b/>
        </w:rPr>
        <w:t>Data requirements</w:t>
      </w:r>
      <w:r w:rsidRPr="008A3CC6">
        <w:t xml:space="preserve">: </w:t>
      </w:r>
      <w:r w:rsidR="00781185" w:rsidRPr="008A3CC6">
        <w:t>Nominal</w:t>
      </w:r>
      <w:r w:rsidRPr="008A3CC6">
        <w:t xml:space="preserve"> </w:t>
      </w:r>
      <w:r w:rsidR="000D706C" w:rsidRPr="008A3CC6">
        <w:t>current and/or historical price</w:t>
      </w:r>
      <w:r w:rsidRPr="008A3CC6">
        <w:t xml:space="preserve"> data; </w:t>
      </w:r>
      <w:r w:rsidR="00781185" w:rsidRPr="008A3CC6">
        <w:t xml:space="preserve">corresponding </w:t>
      </w:r>
      <w:r w:rsidR="000D706C" w:rsidRPr="008A3CC6">
        <w:t>exchange rates between the local currency and an international currency (e.g. USD, Euro)</w:t>
      </w:r>
      <w:r w:rsidR="00781185" w:rsidRPr="008A3CC6">
        <w:t>.</w:t>
      </w:r>
      <w:r w:rsidR="00A94787" w:rsidRPr="008A3CC6">
        <w:t xml:space="preserve"> Historical exchange rates can be found online</w:t>
      </w:r>
      <w:r w:rsidR="001643E7" w:rsidRPr="008A3CC6">
        <w:t xml:space="preserve">, e.g. </w:t>
      </w:r>
      <w:hyperlink r:id="rId7" w:history="1">
        <w:r w:rsidR="00AA625E" w:rsidRPr="00896F23">
          <w:rPr>
            <w:rStyle w:val="Hyperlink"/>
          </w:rPr>
          <w:t>http://www.oanda.com/currency/historical-rates/</w:t>
        </w:r>
      </w:hyperlink>
      <w:r w:rsidR="00AA625E">
        <w:t xml:space="preserve"> </w:t>
      </w:r>
    </w:p>
    <w:p w:rsidR="00EB452D" w:rsidRPr="008A3CC6" w:rsidRDefault="00EB452D" w:rsidP="00AD7A42">
      <w:pPr>
        <w:spacing w:after="0" w:line="240" w:lineRule="auto"/>
      </w:pPr>
      <w:r w:rsidRPr="008A3CC6">
        <w:rPr>
          <w:b/>
        </w:rPr>
        <w:t xml:space="preserve">How to </w:t>
      </w:r>
      <w:r w:rsidR="000D706C" w:rsidRPr="008A3CC6">
        <w:rPr>
          <w:b/>
        </w:rPr>
        <w:t>convert local prices to an international currency</w:t>
      </w:r>
      <w:r w:rsidRPr="008A3CC6">
        <w:t>:</w:t>
      </w:r>
    </w:p>
    <w:p w:rsidR="0061213E" w:rsidRPr="008A3CC6" w:rsidRDefault="000D706C" w:rsidP="00AD7A42">
      <w:pPr>
        <w:pStyle w:val="ListParagraph"/>
        <w:numPr>
          <w:ilvl w:val="0"/>
          <w:numId w:val="4"/>
        </w:numPr>
        <w:spacing w:after="0" w:line="240" w:lineRule="auto"/>
        <w:ind w:left="1080"/>
      </w:pPr>
      <w:r w:rsidRPr="008A3CC6">
        <w:t xml:space="preserve">Divide the local prices by the USD or Euro exchange rate:  </w:t>
      </w:r>
    </w:p>
    <w:p w:rsidR="00A1080E" w:rsidRPr="008A3CC6" w:rsidRDefault="000D706C" w:rsidP="00AD7A42">
      <w:pPr>
        <w:pStyle w:val="ListParagraph"/>
        <w:spacing w:line="240" w:lineRule="auto"/>
        <w:ind w:left="0"/>
        <w:jc w:val="center"/>
      </w:pPr>
      <w:r w:rsidRPr="008A3CC6">
        <w:t>Price</w:t>
      </w:r>
      <w:r w:rsidRPr="008A3CC6">
        <w:rPr>
          <w:vertAlign w:val="subscript"/>
        </w:rPr>
        <w:t>USD</w:t>
      </w:r>
      <w:r w:rsidRPr="008A3CC6">
        <w:t xml:space="preserve"> = Price</w:t>
      </w:r>
      <w:r w:rsidRPr="008A3CC6">
        <w:rPr>
          <w:vertAlign w:val="subscript"/>
        </w:rPr>
        <w:t>LOCAL</w:t>
      </w:r>
      <w:r w:rsidRPr="008A3CC6">
        <w:t xml:space="preserve"> </w:t>
      </w:r>
      <w:r w:rsidR="0061213E" w:rsidRPr="008A3CC6">
        <w:t>*</w:t>
      </w:r>
      <w:r w:rsidRPr="008A3CC6">
        <w:t xml:space="preserve"> EXCHANGE RATE</w:t>
      </w:r>
      <w:r w:rsidRPr="008A3CC6">
        <w:rPr>
          <w:vertAlign w:val="subscript"/>
        </w:rPr>
        <w:t>USD/LOCAL</w:t>
      </w:r>
    </w:p>
    <w:p w:rsidR="00A1080E" w:rsidRPr="00AD7A42" w:rsidRDefault="00A1080E" w:rsidP="00AD7A42">
      <w:pPr>
        <w:pStyle w:val="ListParagraph"/>
        <w:spacing w:line="240" w:lineRule="auto"/>
        <w:ind w:left="0"/>
        <w:jc w:val="center"/>
        <w:rPr>
          <w:b/>
        </w:rPr>
      </w:pPr>
      <w:r w:rsidRPr="00AD7A42">
        <w:rPr>
          <w:b/>
        </w:rPr>
        <w:t>OR</w:t>
      </w:r>
    </w:p>
    <w:p w:rsidR="007D3CA7" w:rsidRPr="008A3CC6" w:rsidRDefault="0061213E" w:rsidP="00AD7A42">
      <w:pPr>
        <w:pStyle w:val="ListParagraph"/>
        <w:spacing w:line="240" w:lineRule="auto"/>
        <w:ind w:left="0"/>
        <w:jc w:val="center"/>
      </w:pPr>
      <w:r w:rsidRPr="008A3CC6">
        <w:t>Price</w:t>
      </w:r>
      <w:r w:rsidRPr="008A3CC6">
        <w:rPr>
          <w:vertAlign w:val="subscript"/>
        </w:rPr>
        <w:t>USD</w:t>
      </w:r>
      <w:r w:rsidRPr="008A3CC6">
        <w:t xml:space="preserve"> = Price</w:t>
      </w:r>
      <w:r w:rsidRPr="008A3CC6">
        <w:rPr>
          <w:vertAlign w:val="subscript"/>
        </w:rPr>
        <w:t>LOCAL</w:t>
      </w:r>
      <w:r w:rsidRPr="008A3CC6">
        <w:t xml:space="preserve"> / EXCHANGE RATE</w:t>
      </w:r>
      <w:r w:rsidRPr="008A3CC6">
        <w:rPr>
          <w:vertAlign w:val="subscript"/>
        </w:rPr>
        <w:t>LOCAL/USD</w:t>
      </w:r>
    </w:p>
    <w:p w:rsidR="00896FB1" w:rsidRPr="008A3CC6" w:rsidRDefault="00A33933" w:rsidP="00AD7A42">
      <w:pPr>
        <w:pStyle w:val="ListParagraph"/>
        <w:numPr>
          <w:ilvl w:val="0"/>
          <w:numId w:val="4"/>
        </w:numPr>
        <w:spacing w:line="240" w:lineRule="auto"/>
        <w:ind w:left="1080"/>
      </w:pPr>
      <w:r w:rsidRPr="008A3CC6">
        <w:t xml:space="preserve">Graph </w:t>
      </w:r>
      <w:r w:rsidR="000D706C" w:rsidRPr="008A3CC6">
        <w:t>local</w:t>
      </w:r>
      <w:r w:rsidRPr="008A3CC6">
        <w:t xml:space="preserve"> prices against </w:t>
      </w:r>
      <w:r w:rsidR="000D706C" w:rsidRPr="008A3CC6">
        <w:t>international</w:t>
      </w:r>
      <w:r w:rsidRPr="008A3CC6">
        <w:t xml:space="preserve"> prices.</w:t>
      </w:r>
    </w:p>
    <w:p w:rsidR="00A33933" w:rsidRPr="008A3CC6" w:rsidRDefault="00A33933" w:rsidP="00AD7A42">
      <w:pPr>
        <w:spacing w:after="0" w:line="240" w:lineRule="auto"/>
        <w:rPr>
          <w:b/>
        </w:rPr>
      </w:pPr>
      <w:r w:rsidRPr="008A3CC6">
        <w:rPr>
          <w:b/>
        </w:rPr>
        <w:t>Example:</w:t>
      </w:r>
    </w:p>
    <w:tbl>
      <w:tblPr>
        <w:tblW w:w="0" w:type="auto"/>
        <w:jc w:val="center"/>
        <w:tblLook w:val="04A0" w:firstRow="1" w:lastRow="0" w:firstColumn="1" w:lastColumn="0" w:noHBand="0" w:noVBand="1"/>
      </w:tblPr>
      <w:tblGrid>
        <w:gridCol w:w="647"/>
        <w:gridCol w:w="1044"/>
        <w:gridCol w:w="627"/>
        <w:gridCol w:w="752"/>
        <w:gridCol w:w="1267"/>
        <w:gridCol w:w="1044"/>
        <w:gridCol w:w="536"/>
        <w:gridCol w:w="752"/>
      </w:tblGrid>
      <w:tr w:rsidR="000D706C" w:rsidRPr="00AD7A42" w:rsidTr="00AD7A4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Week</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SYP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Exchange rate</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USD</w:t>
            </w:r>
          </w:p>
        </w:tc>
      </w:tr>
      <w:tr w:rsidR="000D706C" w:rsidRPr="00AD7A42" w:rsidTr="00AD7A4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06C" w:rsidRPr="00AD7A42" w:rsidRDefault="000D706C" w:rsidP="00AD7A42">
            <w:pPr>
              <w:spacing w:after="0" w:line="240" w:lineRule="auto"/>
              <w:rPr>
                <w:rFonts w:eastAsia="Times New Roman" w:cs="Arial"/>
                <w:b/>
                <w:bCs/>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Cooking oil</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Rice</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Cheese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06C" w:rsidRPr="00AD7A42" w:rsidRDefault="000D706C" w:rsidP="00AD7A42">
            <w:pPr>
              <w:spacing w:after="0" w:line="240" w:lineRule="auto"/>
              <w:rPr>
                <w:rFonts w:eastAsia="Times New Roman" w:cs="Arial"/>
                <w:b/>
                <w:bCs/>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Cooking oil</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Rice</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b/>
                <w:bCs/>
                <w:sz w:val="18"/>
                <w:szCs w:val="18"/>
              </w:rPr>
            </w:pPr>
            <w:r w:rsidRPr="00AD7A42">
              <w:rPr>
                <w:rFonts w:eastAsia="Times New Roman" w:cs="Arial"/>
                <w:b/>
                <w:bCs/>
                <w:sz w:val="18"/>
                <w:szCs w:val="18"/>
              </w:rPr>
              <w:t>Cheese</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188.3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96.7</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0.0142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2.67</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1.37</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1.21</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192.8</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103.9</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92.2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0.0142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2.74</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1.48</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1.31</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193.3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112.8</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92.5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0.0142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1.60</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1.31</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192.8</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113.1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92.2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0.0143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2.76</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1.62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1.32</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189.2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114.2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91.7</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0.0143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1.63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1.31</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191.9</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115.0</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92.5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0.0143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2.74</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1.64</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1.32</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195.0</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120.3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93.9</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0.0103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2.01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1.24</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0.97</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198.6</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142.8</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90.6</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0.0103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2.05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1.47</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0.93</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193.7</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138.0</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112.0</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0.0103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1.99</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1.42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1.15</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278.3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177.5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137.5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0.0101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2.81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1.79</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1.39</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273.3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165.0</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129.2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0.0101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2.76</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1.67</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1.30</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275.0</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177.5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141.7</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1.78</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1.42</w:t>
            </w:r>
          </w:p>
        </w:tc>
      </w:tr>
      <w:tr w:rsidR="000D706C" w:rsidRPr="00AD7A42" w:rsidTr="00AD7A4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279.2</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175.0</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145.8</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2.79</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1.75</w:t>
            </w:r>
          </w:p>
        </w:tc>
        <w:tc>
          <w:tcPr>
            <w:tcW w:w="0" w:type="auto"/>
            <w:tcBorders>
              <w:top w:val="nil"/>
              <w:left w:val="nil"/>
              <w:bottom w:val="single" w:sz="4" w:space="0" w:color="auto"/>
              <w:right w:val="single" w:sz="4" w:space="0" w:color="auto"/>
            </w:tcBorders>
            <w:shd w:val="clear" w:color="auto" w:fill="auto"/>
            <w:noWrap/>
            <w:vAlign w:val="bottom"/>
            <w:hideMark/>
          </w:tcPr>
          <w:p w:rsidR="000D706C" w:rsidRPr="00AD7A42" w:rsidRDefault="000D706C" w:rsidP="00AD7A42">
            <w:pPr>
              <w:spacing w:after="0" w:line="240" w:lineRule="auto"/>
              <w:jc w:val="center"/>
              <w:rPr>
                <w:rFonts w:eastAsia="Times New Roman" w:cs="Arial"/>
                <w:sz w:val="18"/>
                <w:szCs w:val="18"/>
              </w:rPr>
            </w:pPr>
            <w:r w:rsidRPr="00AD7A42">
              <w:rPr>
                <w:rFonts w:eastAsia="Times New Roman" w:cs="Arial"/>
                <w:sz w:val="18"/>
                <w:szCs w:val="18"/>
              </w:rPr>
              <w:t>1.46</w:t>
            </w:r>
          </w:p>
        </w:tc>
      </w:tr>
    </w:tbl>
    <w:p w:rsidR="00896FB1" w:rsidRDefault="00AD7A42" w:rsidP="00AD7A42">
      <w:pPr>
        <w:tabs>
          <w:tab w:val="left" w:pos="7600"/>
        </w:tabs>
        <w:spacing w:line="240" w:lineRule="auto"/>
      </w:pPr>
      <w:r w:rsidRPr="008A3CC6">
        <w:rPr>
          <w:noProof/>
        </w:rPr>
        <w:drawing>
          <wp:anchor distT="0" distB="0" distL="114300" distR="114300" simplePos="0" relativeHeight="251667968" behindDoc="0" locked="0" layoutInCell="1" allowOverlap="1" wp14:anchorId="083D852F" wp14:editId="3B2B08F5">
            <wp:simplePos x="0" y="0"/>
            <wp:positionH relativeFrom="column">
              <wp:posOffset>3457575</wp:posOffset>
            </wp:positionH>
            <wp:positionV relativeFrom="paragraph">
              <wp:posOffset>45720</wp:posOffset>
            </wp:positionV>
            <wp:extent cx="3238500" cy="2009775"/>
            <wp:effectExtent l="0" t="0" r="0" b="952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8A3CC6">
        <w:rPr>
          <w:noProof/>
        </w:rPr>
        <w:drawing>
          <wp:anchor distT="0" distB="0" distL="114300" distR="114300" simplePos="0" relativeHeight="251676160" behindDoc="0" locked="0" layoutInCell="1" allowOverlap="1" wp14:anchorId="4671F96B" wp14:editId="1D7A4B0D">
            <wp:simplePos x="0" y="0"/>
            <wp:positionH relativeFrom="column">
              <wp:posOffset>0</wp:posOffset>
            </wp:positionH>
            <wp:positionV relativeFrom="paragraph">
              <wp:posOffset>45720</wp:posOffset>
            </wp:positionV>
            <wp:extent cx="3209925" cy="20288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448D4" w:rsidRPr="008A3CC6">
        <w:tab/>
      </w:r>
    </w:p>
    <w:p w:rsidR="00A7583D" w:rsidRDefault="00A7583D" w:rsidP="00AD7A42">
      <w:pPr>
        <w:tabs>
          <w:tab w:val="left" w:pos="7600"/>
        </w:tabs>
        <w:spacing w:line="240" w:lineRule="auto"/>
      </w:pPr>
    </w:p>
    <w:p w:rsidR="00A7583D" w:rsidRDefault="00A7583D" w:rsidP="00AD7A42">
      <w:pPr>
        <w:tabs>
          <w:tab w:val="left" w:pos="7600"/>
        </w:tabs>
        <w:spacing w:line="240" w:lineRule="auto"/>
      </w:pPr>
    </w:p>
    <w:p w:rsidR="00A7583D" w:rsidRDefault="00A7583D" w:rsidP="00AD7A42">
      <w:pPr>
        <w:tabs>
          <w:tab w:val="left" w:pos="7600"/>
        </w:tabs>
        <w:spacing w:line="240" w:lineRule="auto"/>
      </w:pPr>
    </w:p>
    <w:p w:rsidR="00A7583D" w:rsidRDefault="00A7583D" w:rsidP="00AD7A42">
      <w:pPr>
        <w:tabs>
          <w:tab w:val="left" w:pos="7600"/>
        </w:tabs>
        <w:spacing w:line="240" w:lineRule="auto"/>
      </w:pPr>
    </w:p>
    <w:p w:rsidR="00A7583D" w:rsidRPr="008A3CC6" w:rsidRDefault="00A7583D" w:rsidP="00AD7A42">
      <w:pPr>
        <w:tabs>
          <w:tab w:val="left" w:pos="7600"/>
        </w:tabs>
        <w:spacing w:line="240" w:lineRule="auto"/>
      </w:pPr>
    </w:p>
    <w:p w:rsidR="00567857" w:rsidRPr="008A3CC6" w:rsidRDefault="00567857" w:rsidP="00AD7A42">
      <w:pPr>
        <w:tabs>
          <w:tab w:val="left" w:pos="7600"/>
        </w:tabs>
        <w:spacing w:line="240" w:lineRule="auto"/>
      </w:pPr>
    </w:p>
    <w:p w:rsidR="00EC242C" w:rsidRPr="008A3CC6" w:rsidRDefault="00CF3B05" w:rsidP="00AD7A42">
      <w:pPr>
        <w:spacing w:before="240" w:line="240" w:lineRule="auto"/>
      </w:pPr>
      <w:r w:rsidRPr="008A3CC6">
        <w:rPr>
          <w:b/>
        </w:rPr>
        <w:t>Interpretation:</w:t>
      </w:r>
      <w:r w:rsidR="00882ED4" w:rsidRPr="008A3CC6">
        <w:rPr>
          <w:b/>
        </w:rPr>
        <w:t xml:space="preserve"> </w:t>
      </w:r>
      <w:r w:rsidR="00EC242C" w:rsidRPr="008A3CC6">
        <w:t>When analyzing food prices in the local currency, one notices an increase in prices following the intervention (in this case, food vouchers). This may lead the analyst to conclude that the market could not meet the demand generated by the project, causing prices to increase.</w:t>
      </w:r>
    </w:p>
    <w:p w:rsidR="00781185" w:rsidRPr="008A3CC6" w:rsidRDefault="00EC242C" w:rsidP="00AD7A42">
      <w:pPr>
        <w:spacing w:line="240" w:lineRule="auto"/>
      </w:pPr>
      <w:r w:rsidRPr="008A3CC6">
        <w:t>Traders participating in the program indicated a significant devaluation in the value of the Syrian Pound</w:t>
      </w:r>
      <w:r w:rsidR="006661FD" w:rsidRPr="008A3CC6">
        <w:t xml:space="preserve"> relative to the USD right around the time of the first distribution. After prices are converted into USD, the value of commodities in USD terms is relatively stable. Prices decreased at the moment of the change in exchange rate, and returned to their previous levels after traders were able to adjust for the new value of the currency.</w:t>
      </w:r>
    </w:p>
    <w:p w:rsidR="006661FD" w:rsidRPr="008A3CC6" w:rsidRDefault="006661FD" w:rsidP="00AD7A42">
      <w:pPr>
        <w:spacing w:line="240" w:lineRule="auto"/>
      </w:pPr>
      <w:r w:rsidRPr="008A3CC6">
        <w:t xml:space="preserve">From these graphs, it does not appear that price increases are due to local shortages of supplies. In this case, the project might consider pegging the transfer value to an international currency to maintain the intended purchasing power of beneficiaries. </w:t>
      </w:r>
    </w:p>
    <w:sectPr w:rsidR="006661FD" w:rsidRPr="008A3CC6" w:rsidSect="00AD7A42">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4D" w:rsidRDefault="002B194D" w:rsidP="00B16F42">
      <w:pPr>
        <w:spacing w:after="0" w:line="240" w:lineRule="auto"/>
      </w:pPr>
      <w:r>
        <w:separator/>
      </w:r>
    </w:p>
  </w:endnote>
  <w:endnote w:type="continuationSeparator" w:id="0">
    <w:p w:rsidR="002B194D" w:rsidRDefault="002B194D" w:rsidP="00B1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4D" w:rsidRDefault="002B194D" w:rsidP="00B16F42">
      <w:pPr>
        <w:spacing w:after="0" w:line="240" w:lineRule="auto"/>
      </w:pPr>
      <w:r>
        <w:separator/>
      </w:r>
    </w:p>
  </w:footnote>
  <w:footnote w:type="continuationSeparator" w:id="0">
    <w:p w:rsidR="002B194D" w:rsidRDefault="002B194D" w:rsidP="00B16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42" w:rsidRPr="00AD7A42" w:rsidRDefault="00AD7A42">
    <w:pPr>
      <w:pStyle w:val="Header"/>
      <w:rPr>
        <w:color w:val="808080" w:themeColor="background1" w:themeShade="80"/>
      </w:rPr>
    </w:pPr>
    <w:r w:rsidRPr="00AD7A42">
      <w:rPr>
        <w:color w:val="808080" w:themeColor="background1" w:themeShade="80"/>
      </w:rPr>
      <w:t>For use with MARKit manual section 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E31"/>
    <w:multiLevelType w:val="hybridMultilevel"/>
    <w:tmpl w:val="0590BE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B0370D"/>
    <w:multiLevelType w:val="hybridMultilevel"/>
    <w:tmpl w:val="C71C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54BA1"/>
    <w:multiLevelType w:val="hybridMultilevel"/>
    <w:tmpl w:val="B014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C1291"/>
    <w:multiLevelType w:val="hybridMultilevel"/>
    <w:tmpl w:val="D7B0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AE"/>
    <w:rsid w:val="00025CBA"/>
    <w:rsid w:val="000D706C"/>
    <w:rsid w:val="000E0E98"/>
    <w:rsid w:val="001643E7"/>
    <w:rsid w:val="001E7978"/>
    <w:rsid w:val="00220D25"/>
    <w:rsid w:val="00250C22"/>
    <w:rsid w:val="002876E7"/>
    <w:rsid w:val="002B194D"/>
    <w:rsid w:val="003B75D1"/>
    <w:rsid w:val="004165AE"/>
    <w:rsid w:val="00435697"/>
    <w:rsid w:val="00567857"/>
    <w:rsid w:val="0061213E"/>
    <w:rsid w:val="0061671A"/>
    <w:rsid w:val="006661FD"/>
    <w:rsid w:val="00730C31"/>
    <w:rsid w:val="00781185"/>
    <w:rsid w:val="007D3CA7"/>
    <w:rsid w:val="007F1925"/>
    <w:rsid w:val="00882ED4"/>
    <w:rsid w:val="00896FB1"/>
    <w:rsid w:val="008A3CC6"/>
    <w:rsid w:val="00964B8B"/>
    <w:rsid w:val="009D7231"/>
    <w:rsid w:val="009E6C42"/>
    <w:rsid w:val="00A1080E"/>
    <w:rsid w:val="00A33933"/>
    <w:rsid w:val="00A50115"/>
    <w:rsid w:val="00A7583D"/>
    <w:rsid w:val="00A94787"/>
    <w:rsid w:val="00AA625E"/>
    <w:rsid w:val="00AD7A42"/>
    <w:rsid w:val="00B16F42"/>
    <w:rsid w:val="00B4256B"/>
    <w:rsid w:val="00B448D4"/>
    <w:rsid w:val="00C0690C"/>
    <w:rsid w:val="00C469D1"/>
    <w:rsid w:val="00C865D8"/>
    <w:rsid w:val="00CC690B"/>
    <w:rsid w:val="00CE63C5"/>
    <w:rsid w:val="00CF3B05"/>
    <w:rsid w:val="00D36E64"/>
    <w:rsid w:val="00D3732D"/>
    <w:rsid w:val="00D9023D"/>
    <w:rsid w:val="00EB1892"/>
    <w:rsid w:val="00EB452D"/>
    <w:rsid w:val="00EC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26E42-7974-4BFA-A2D6-94A6C775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2D"/>
    <w:pPr>
      <w:ind w:left="720"/>
      <w:contextualSpacing/>
    </w:pPr>
  </w:style>
  <w:style w:type="table" w:styleId="TableGrid">
    <w:name w:val="Table Grid"/>
    <w:basedOn w:val="TableNormal"/>
    <w:uiPriority w:val="59"/>
    <w:rsid w:val="00C4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05"/>
    <w:rPr>
      <w:rFonts w:ascii="Tahoma" w:hAnsi="Tahoma" w:cs="Tahoma"/>
      <w:sz w:val="16"/>
      <w:szCs w:val="16"/>
    </w:rPr>
  </w:style>
  <w:style w:type="paragraph" w:styleId="FootnoteText">
    <w:name w:val="footnote text"/>
    <w:basedOn w:val="Normal"/>
    <w:link w:val="FootnoteTextChar"/>
    <w:uiPriority w:val="99"/>
    <w:semiHidden/>
    <w:unhideWhenUsed/>
    <w:rsid w:val="00B16F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F42"/>
    <w:rPr>
      <w:sz w:val="20"/>
      <w:szCs w:val="20"/>
    </w:rPr>
  </w:style>
  <w:style w:type="character" w:styleId="FootnoteReference">
    <w:name w:val="footnote reference"/>
    <w:basedOn w:val="DefaultParagraphFont"/>
    <w:uiPriority w:val="99"/>
    <w:semiHidden/>
    <w:unhideWhenUsed/>
    <w:rsid w:val="00B16F42"/>
    <w:rPr>
      <w:vertAlign w:val="superscript"/>
    </w:rPr>
  </w:style>
  <w:style w:type="character" w:styleId="Hyperlink">
    <w:name w:val="Hyperlink"/>
    <w:basedOn w:val="DefaultParagraphFont"/>
    <w:uiPriority w:val="99"/>
    <w:unhideWhenUsed/>
    <w:rsid w:val="003B75D1"/>
    <w:rPr>
      <w:color w:val="0000FF" w:themeColor="hyperlink"/>
      <w:u w:val="single"/>
    </w:rPr>
  </w:style>
  <w:style w:type="character" w:styleId="FollowedHyperlink">
    <w:name w:val="FollowedHyperlink"/>
    <w:basedOn w:val="DefaultParagraphFont"/>
    <w:uiPriority w:val="99"/>
    <w:semiHidden/>
    <w:unhideWhenUsed/>
    <w:rsid w:val="00250C22"/>
    <w:rPr>
      <w:color w:val="800080" w:themeColor="followedHyperlink"/>
      <w:u w:val="single"/>
    </w:rPr>
  </w:style>
  <w:style w:type="paragraph" w:styleId="Header">
    <w:name w:val="header"/>
    <w:basedOn w:val="Normal"/>
    <w:link w:val="HeaderChar"/>
    <w:uiPriority w:val="99"/>
    <w:unhideWhenUsed/>
    <w:rsid w:val="00AD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A42"/>
  </w:style>
  <w:style w:type="paragraph" w:styleId="Footer">
    <w:name w:val="footer"/>
    <w:basedOn w:val="Normal"/>
    <w:link w:val="FooterChar"/>
    <w:uiPriority w:val="99"/>
    <w:unhideWhenUsed/>
    <w:rsid w:val="00AD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8541">
      <w:bodyDiv w:val="1"/>
      <w:marLeft w:val="0"/>
      <w:marRight w:val="0"/>
      <w:marTop w:val="0"/>
      <w:marBottom w:val="0"/>
      <w:divBdr>
        <w:top w:val="none" w:sz="0" w:space="0" w:color="auto"/>
        <w:left w:val="none" w:sz="0" w:space="0" w:color="auto"/>
        <w:bottom w:val="none" w:sz="0" w:space="0" w:color="auto"/>
        <w:right w:val="none" w:sz="0" w:space="0" w:color="auto"/>
      </w:divBdr>
    </w:div>
    <w:div w:id="1163007007">
      <w:bodyDiv w:val="1"/>
      <w:marLeft w:val="0"/>
      <w:marRight w:val="0"/>
      <w:marTop w:val="0"/>
      <w:marBottom w:val="0"/>
      <w:divBdr>
        <w:top w:val="none" w:sz="0" w:space="0" w:color="auto"/>
        <w:left w:val="none" w:sz="0" w:space="0" w:color="auto"/>
        <w:bottom w:val="none" w:sz="0" w:space="0" w:color="auto"/>
        <w:right w:val="none" w:sz="0" w:space="0" w:color="auto"/>
      </w:divBdr>
    </w:div>
    <w:div w:id="16857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oanda.com/currency/historical-r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mmcglinchy\Documents\MARKit\HRD%20Takeover\Quantitative%20Analysis%20Worksheets.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sers\mmcglinchy\Documents\MARKit\HRD%20Takeover\Quantitative%20Analysis%20Workshee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Food Prices in US Dollars (USD)</a:t>
            </a:r>
          </a:p>
        </c:rich>
      </c:tx>
      <c:overlay val="0"/>
    </c:title>
    <c:autoTitleDeleted val="0"/>
    <c:plotArea>
      <c:layout/>
      <c:lineChart>
        <c:grouping val="standard"/>
        <c:varyColors val="0"/>
        <c:ser>
          <c:idx val="0"/>
          <c:order val="0"/>
          <c:tx>
            <c:v>Cooking oil USD</c:v>
          </c:tx>
          <c:marker>
            <c:symbol val="none"/>
          </c:marker>
          <c:val>
            <c:numRef>
              <c:f>'Exchange rates'!$B$11:$N$11</c:f>
              <c:numCache>
                <c:formatCode>0.00</c:formatCode>
                <c:ptCount val="13"/>
                <c:pt idx="0">
                  <c:v>2.6743333333333337</c:v>
                </c:pt>
                <c:pt idx="1">
                  <c:v>2.7374444444444439</c:v>
                </c:pt>
                <c:pt idx="2">
                  <c:v>2.7453333333333338</c:v>
                </c:pt>
                <c:pt idx="3">
                  <c:v>2.7567222222222219</c:v>
                </c:pt>
                <c:pt idx="4">
                  <c:v>2.7050833333333331</c:v>
                </c:pt>
                <c:pt idx="5">
                  <c:v>2.7448055555555553</c:v>
                </c:pt>
                <c:pt idx="6">
                  <c:v>2.0085000000000002</c:v>
                </c:pt>
                <c:pt idx="7">
                  <c:v>2.045694444444444</c:v>
                </c:pt>
                <c:pt idx="8">
                  <c:v>1.9947666666666668</c:v>
                </c:pt>
                <c:pt idx="9">
                  <c:v>2.8111666666666664</c:v>
                </c:pt>
                <c:pt idx="10">
                  <c:v>2.7606666666666668</c:v>
                </c:pt>
                <c:pt idx="11">
                  <c:v>2.75</c:v>
                </c:pt>
                <c:pt idx="12">
                  <c:v>2.791666666666667</c:v>
                </c:pt>
              </c:numCache>
            </c:numRef>
          </c:val>
          <c:smooth val="0"/>
        </c:ser>
        <c:ser>
          <c:idx val="1"/>
          <c:order val="1"/>
          <c:tx>
            <c:v>Rice USD</c:v>
          </c:tx>
          <c:marker>
            <c:symbol val="none"/>
          </c:marker>
          <c:val>
            <c:numRef>
              <c:f>'Exchange rates'!$B$12:$N$12</c:f>
              <c:numCache>
                <c:formatCode>0.00</c:formatCode>
                <c:ptCount val="13"/>
                <c:pt idx="0">
                  <c:v>1.3726666666666669</c:v>
                </c:pt>
                <c:pt idx="1">
                  <c:v>1.4752222222222224</c:v>
                </c:pt>
                <c:pt idx="2">
                  <c:v>1.6014444444444444</c:v>
                </c:pt>
                <c:pt idx="3">
                  <c:v>1.6166944444444444</c:v>
                </c:pt>
                <c:pt idx="4">
                  <c:v>1.6325833333333335</c:v>
                </c:pt>
                <c:pt idx="5">
                  <c:v>1.6445000000000001</c:v>
                </c:pt>
                <c:pt idx="6">
                  <c:v>1.2388611111111112</c:v>
                </c:pt>
                <c:pt idx="7">
                  <c:v>1.4706111111111111</c:v>
                </c:pt>
                <c:pt idx="8">
                  <c:v>1.4214</c:v>
                </c:pt>
                <c:pt idx="9">
                  <c:v>1.7927499999999998</c:v>
                </c:pt>
                <c:pt idx="10">
                  <c:v>1.6664999999999999</c:v>
                </c:pt>
                <c:pt idx="11">
                  <c:v>1.7750000000000001</c:v>
                </c:pt>
                <c:pt idx="12">
                  <c:v>1.75</c:v>
                </c:pt>
              </c:numCache>
            </c:numRef>
          </c:val>
          <c:smooth val="0"/>
        </c:ser>
        <c:ser>
          <c:idx val="2"/>
          <c:order val="2"/>
          <c:tx>
            <c:v>Cheese USD</c:v>
          </c:tx>
          <c:marker>
            <c:symbol val="none"/>
          </c:marker>
          <c:val>
            <c:numRef>
              <c:f>'Exchange rates'!$B$13:$N$13</c:f>
              <c:numCache>
                <c:formatCode>0.00</c:formatCode>
                <c:ptCount val="13"/>
                <c:pt idx="0">
                  <c:v>1.2148888888888889</c:v>
                </c:pt>
                <c:pt idx="1">
                  <c:v>1.3095555555555556</c:v>
                </c:pt>
                <c:pt idx="2">
                  <c:v>1.3135000000000001</c:v>
                </c:pt>
                <c:pt idx="3">
                  <c:v>1.3187777777777778</c:v>
                </c:pt>
                <c:pt idx="4">
                  <c:v>1.3108333333333335</c:v>
                </c:pt>
                <c:pt idx="5">
                  <c:v>1.3227500000000001</c:v>
                </c:pt>
                <c:pt idx="6">
                  <c:v>0.96705555555555534</c:v>
                </c:pt>
                <c:pt idx="7">
                  <c:v>0.93272222222222223</c:v>
                </c:pt>
                <c:pt idx="8">
                  <c:v>1.1536</c:v>
                </c:pt>
                <c:pt idx="9">
                  <c:v>1.3887499999999999</c:v>
                </c:pt>
                <c:pt idx="10">
                  <c:v>1.3045833333333332</c:v>
                </c:pt>
                <c:pt idx="11">
                  <c:v>1.416666666666667</c:v>
                </c:pt>
                <c:pt idx="12">
                  <c:v>1.4583333333333333</c:v>
                </c:pt>
              </c:numCache>
            </c:numRef>
          </c:val>
          <c:smooth val="0"/>
        </c:ser>
        <c:ser>
          <c:idx val="3"/>
          <c:order val="3"/>
          <c:tx>
            <c:v>Intervention</c:v>
          </c:tx>
          <c:marker>
            <c:symbol val="none"/>
          </c:marker>
          <c:val>
            <c:numLit>
              <c:formatCode>General</c:formatCode>
              <c:ptCount val="1"/>
              <c:pt idx="0">
                <c:v>1</c:v>
              </c:pt>
            </c:numLit>
          </c:val>
          <c:smooth val="0"/>
        </c:ser>
        <c:dLbls>
          <c:showLegendKey val="0"/>
          <c:showVal val="0"/>
          <c:showCatName val="0"/>
          <c:showSerName val="0"/>
          <c:showPercent val="0"/>
          <c:showBubbleSize val="0"/>
        </c:dLbls>
        <c:smooth val="0"/>
        <c:axId val="509308240"/>
        <c:axId val="509305496"/>
      </c:lineChart>
      <c:catAx>
        <c:axId val="509308240"/>
        <c:scaling>
          <c:orientation val="minMax"/>
        </c:scaling>
        <c:delete val="0"/>
        <c:axPos val="b"/>
        <c:majorTickMark val="out"/>
        <c:minorTickMark val="none"/>
        <c:tickLblPos val="nextTo"/>
        <c:crossAx val="509305496"/>
        <c:crosses val="autoZero"/>
        <c:auto val="1"/>
        <c:lblAlgn val="ctr"/>
        <c:lblOffset val="100"/>
        <c:noMultiLvlLbl val="0"/>
      </c:catAx>
      <c:valAx>
        <c:axId val="509305496"/>
        <c:scaling>
          <c:orientation val="minMax"/>
        </c:scaling>
        <c:delete val="0"/>
        <c:axPos val="l"/>
        <c:majorGridlines/>
        <c:title>
          <c:tx>
            <c:rich>
              <a:bodyPr rot="-5400000" vert="horz"/>
              <a:lstStyle/>
              <a:p>
                <a:pPr>
                  <a:defRPr/>
                </a:pPr>
                <a:r>
                  <a:rPr lang="en-US"/>
                  <a:t>USD/KG</a:t>
                </a:r>
              </a:p>
            </c:rich>
          </c:tx>
          <c:overlay val="0"/>
        </c:title>
        <c:numFmt formatCode="0.00" sourceLinked="1"/>
        <c:majorTickMark val="out"/>
        <c:minorTickMark val="none"/>
        <c:tickLblPos val="nextTo"/>
        <c:crossAx val="509308240"/>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Food Prices in Syrian Pounds (SYP)</a:t>
            </a:r>
          </a:p>
        </c:rich>
      </c:tx>
      <c:overlay val="0"/>
    </c:title>
    <c:autoTitleDeleted val="0"/>
    <c:plotArea>
      <c:layout/>
      <c:lineChart>
        <c:grouping val="standard"/>
        <c:varyColors val="0"/>
        <c:ser>
          <c:idx val="0"/>
          <c:order val="0"/>
          <c:tx>
            <c:v>Cooking oil SYP</c:v>
          </c:tx>
          <c:marker>
            <c:symbol val="none"/>
          </c:marker>
          <c:val>
            <c:numRef>
              <c:f>'Exchange rates'!$B$5:$N$5</c:f>
              <c:numCache>
                <c:formatCode>0.0</c:formatCode>
                <c:ptCount val="13"/>
                <c:pt idx="0">
                  <c:v>188.33333333333334</c:v>
                </c:pt>
                <c:pt idx="1">
                  <c:v>192.77777777777774</c:v>
                </c:pt>
                <c:pt idx="2">
                  <c:v>193.33333333333334</c:v>
                </c:pt>
                <c:pt idx="3">
                  <c:v>192.77777777777774</c:v>
                </c:pt>
                <c:pt idx="4">
                  <c:v>189.16666666666666</c:v>
                </c:pt>
                <c:pt idx="5">
                  <c:v>191.94444444444443</c:v>
                </c:pt>
                <c:pt idx="6">
                  <c:v>195</c:v>
                </c:pt>
                <c:pt idx="7">
                  <c:v>198.61111111111109</c:v>
                </c:pt>
                <c:pt idx="8">
                  <c:v>193.66666666666669</c:v>
                </c:pt>
                <c:pt idx="9">
                  <c:v>278.33333333333331</c:v>
                </c:pt>
                <c:pt idx="10">
                  <c:v>273.33333333333337</c:v>
                </c:pt>
                <c:pt idx="11">
                  <c:v>275</c:v>
                </c:pt>
                <c:pt idx="12">
                  <c:v>279.16666666666669</c:v>
                </c:pt>
              </c:numCache>
            </c:numRef>
          </c:val>
          <c:smooth val="0"/>
        </c:ser>
        <c:ser>
          <c:idx val="1"/>
          <c:order val="1"/>
          <c:tx>
            <c:v>Rice SYP</c:v>
          </c:tx>
          <c:marker>
            <c:symbol val="none"/>
          </c:marker>
          <c:val>
            <c:numRef>
              <c:f>'Exchange rates'!$B$6:$N$6</c:f>
              <c:numCache>
                <c:formatCode>0.0</c:formatCode>
                <c:ptCount val="13"/>
                <c:pt idx="0">
                  <c:v>96.666666666666671</c:v>
                </c:pt>
                <c:pt idx="1">
                  <c:v>103.8888888888889</c:v>
                </c:pt>
                <c:pt idx="2">
                  <c:v>112.77777777777777</c:v>
                </c:pt>
                <c:pt idx="3">
                  <c:v>113.05555555555556</c:v>
                </c:pt>
                <c:pt idx="4">
                  <c:v>114.16666666666667</c:v>
                </c:pt>
                <c:pt idx="5">
                  <c:v>115</c:v>
                </c:pt>
                <c:pt idx="6">
                  <c:v>120.27777777777779</c:v>
                </c:pt>
                <c:pt idx="7">
                  <c:v>142.77777777777777</c:v>
                </c:pt>
                <c:pt idx="8">
                  <c:v>138</c:v>
                </c:pt>
                <c:pt idx="9">
                  <c:v>177.5</c:v>
                </c:pt>
                <c:pt idx="10">
                  <c:v>165</c:v>
                </c:pt>
                <c:pt idx="11">
                  <c:v>177.5</c:v>
                </c:pt>
                <c:pt idx="12">
                  <c:v>175</c:v>
                </c:pt>
              </c:numCache>
            </c:numRef>
          </c:val>
          <c:smooth val="0"/>
        </c:ser>
        <c:ser>
          <c:idx val="2"/>
          <c:order val="2"/>
          <c:tx>
            <c:v>Cheese SYP</c:v>
          </c:tx>
          <c:marker>
            <c:symbol val="none"/>
          </c:marker>
          <c:val>
            <c:numRef>
              <c:f>'Exchange rates'!$B$7:$N$7</c:f>
              <c:numCache>
                <c:formatCode>0.0</c:formatCode>
                <c:ptCount val="13"/>
                <c:pt idx="0">
                  <c:v>85.555555555555557</c:v>
                </c:pt>
                <c:pt idx="1">
                  <c:v>92.222222222222214</c:v>
                </c:pt>
                <c:pt idx="2">
                  <c:v>92.5</c:v>
                </c:pt>
                <c:pt idx="3">
                  <c:v>92.222222222222229</c:v>
                </c:pt>
                <c:pt idx="4">
                  <c:v>91.666666666666671</c:v>
                </c:pt>
                <c:pt idx="5">
                  <c:v>92.5</c:v>
                </c:pt>
                <c:pt idx="6">
                  <c:v>93.888888888888872</c:v>
                </c:pt>
                <c:pt idx="7">
                  <c:v>90.555555555555557</c:v>
                </c:pt>
                <c:pt idx="8">
                  <c:v>112</c:v>
                </c:pt>
                <c:pt idx="9">
                  <c:v>137.5</c:v>
                </c:pt>
                <c:pt idx="10">
                  <c:v>129.16666666666666</c:v>
                </c:pt>
                <c:pt idx="11">
                  <c:v>141.66666666666669</c:v>
                </c:pt>
                <c:pt idx="12">
                  <c:v>145.83333333333331</c:v>
                </c:pt>
              </c:numCache>
            </c:numRef>
          </c:val>
          <c:smooth val="0"/>
        </c:ser>
        <c:ser>
          <c:idx val="3"/>
          <c:order val="3"/>
          <c:tx>
            <c:v>Intervention</c:v>
          </c:tx>
          <c:marker>
            <c:symbol val="none"/>
          </c:marker>
          <c:val>
            <c:numLit>
              <c:formatCode>General</c:formatCode>
              <c:ptCount val="1"/>
              <c:pt idx="0">
                <c:v>1</c:v>
              </c:pt>
            </c:numLit>
          </c:val>
          <c:smooth val="0"/>
        </c:ser>
        <c:dLbls>
          <c:showLegendKey val="0"/>
          <c:showVal val="0"/>
          <c:showCatName val="0"/>
          <c:showSerName val="0"/>
          <c:showPercent val="0"/>
          <c:showBubbleSize val="0"/>
        </c:dLbls>
        <c:smooth val="0"/>
        <c:axId val="509310984"/>
        <c:axId val="509307456"/>
      </c:lineChart>
      <c:catAx>
        <c:axId val="509310984"/>
        <c:scaling>
          <c:orientation val="minMax"/>
        </c:scaling>
        <c:delete val="0"/>
        <c:axPos val="b"/>
        <c:majorTickMark val="out"/>
        <c:minorTickMark val="none"/>
        <c:tickLblPos val="nextTo"/>
        <c:crossAx val="509307456"/>
        <c:crosses val="autoZero"/>
        <c:auto val="1"/>
        <c:lblAlgn val="ctr"/>
        <c:lblOffset val="100"/>
        <c:noMultiLvlLbl val="0"/>
      </c:catAx>
      <c:valAx>
        <c:axId val="509307456"/>
        <c:scaling>
          <c:orientation val="minMax"/>
        </c:scaling>
        <c:delete val="0"/>
        <c:axPos val="l"/>
        <c:majorGridlines/>
        <c:title>
          <c:tx>
            <c:rich>
              <a:bodyPr rot="-5400000" vert="horz"/>
              <a:lstStyle/>
              <a:p>
                <a:pPr>
                  <a:defRPr/>
                </a:pPr>
                <a:r>
                  <a:rPr lang="en-US"/>
                  <a:t>SYP/KG</a:t>
                </a:r>
              </a:p>
            </c:rich>
          </c:tx>
          <c:overlay val="0"/>
        </c:title>
        <c:numFmt formatCode="0.0" sourceLinked="1"/>
        <c:majorTickMark val="out"/>
        <c:minorTickMark val="none"/>
        <c:tickLblPos val="nextTo"/>
        <c:crossAx val="509310984"/>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0.63799</cdr:x>
      <cdr:y>0.15289</cdr:y>
    </cdr:from>
    <cdr:to>
      <cdr:x>0.64118</cdr:x>
      <cdr:y>0.59242</cdr:y>
    </cdr:to>
    <cdr:cxnSp macro="">
      <cdr:nvCxnSpPr>
        <cdr:cNvPr id="2" name="Straight Connector 1"/>
        <cdr:cNvCxnSpPr/>
      </cdr:nvCxnSpPr>
      <cdr:spPr>
        <a:xfrm xmlns:a="http://schemas.openxmlformats.org/drawingml/2006/main" flipH="1" flipV="1">
          <a:off x="2066142" y="307273"/>
          <a:ext cx="10308" cy="883352"/>
        </a:xfrm>
        <a:prstGeom xmlns:a="http://schemas.openxmlformats.org/drawingml/2006/main" prst="line">
          <a:avLst/>
        </a:prstGeom>
        <a:ln xmlns:a="http://schemas.openxmlformats.org/drawingml/2006/main" w="19050">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0.65252</cdr:x>
      <cdr:y>0.17156</cdr:y>
    </cdr:from>
    <cdr:to>
      <cdr:x>0.65579</cdr:x>
      <cdr:y>0.60094</cdr:y>
    </cdr:to>
    <cdr:cxnSp macro="">
      <cdr:nvCxnSpPr>
        <cdr:cNvPr id="2" name="Straight Connector 1"/>
        <cdr:cNvCxnSpPr/>
      </cdr:nvCxnSpPr>
      <cdr:spPr>
        <a:xfrm xmlns:a="http://schemas.openxmlformats.org/drawingml/2006/main" flipH="1" flipV="1">
          <a:off x="2094554" y="348065"/>
          <a:ext cx="10471" cy="871135"/>
        </a:xfrm>
        <a:prstGeom xmlns:a="http://schemas.openxmlformats.org/drawingml/2006/main" prst="line">
          <a:avLst/>
        </a:prstGeom>
        <a:ln xmlns:a="http://schemas.openxmlformats.org/drawingml/2006/main" w="19050">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McGlinchy</dc:creator>
  <cp:lastModifiedBy>LCramer</cp:lastModifiedBy>
  <cp:revision>10</cp:revision>
  <cp:lastPrinted>2014-08-23T07:52:00Z</cp:lastPrinted>
  <dcterms:created xsi:type="dcterms:W3CDTF">2014-08-23T07:52:00Z</dcterms:created>
  <dcterms:modified xsi:type="dcterms:W3CDTF">2015-06-06T13:13:00Z</dcterms:modified>
</cp:coreProperties>
</file>