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478" w:rsidRDefault="00874C10" w:rsidP="00193478">
      <w:pPr>
        <w:spacing w:after="120" w:line="240" w:lineRule="auto"/>
        <w:jc w:val="center"/>
        <w:rPr>
          <w:b/>
        </w:rPr>
      </w:pPr>
      <w:r>
        <w:rPr>
          <w:b/>
        </w:rPr>
        <w:t>WORKSHEET 7</w:t>
      </w:r>
      <w:bookmarkStart w:id="0" w:name="_GoBack"/>
      <w:bookmarkEnd w:id="0"/>
      <w:r w:rsidR="00193478">
        <w:rPr>
          <w:b/>
        </w:rPr>
        <w:t>: COMPARE GLOBAL AND LOCAL PRICES</w:t>
      </w:r>
    </w:p>
    <w:p w:rsidR="00193478" w:rsidRDefault="00193478" w:rsidP="00193478">
      <w:pPr>
        <w:spacing w:after="120" w:line="240" w:lineRule="auto"/>
      </w:pPr>
      <w:r>
        <w:rPr>
          <w:b/>
        </w:rPr>
        <w:t xml:space="preserve">What it is: </w:t>
      </w:r>
      <w:r>
        <w:t>Global food prices fluctuate based on production in major surplus areas and many other factors. Commodities in your intervention area that are imported or markets that are well connected with global markets may be influenced by global prices.</w:t>
      </w:r>
    </w:p>
    <w:p w:rsidR="00193478" w:rsidRPr="00193478" w:rsidRDefault="00193478" w:rsidP="00193478">
      <w:pPr>
        <w:spacing w:after="120" w:line="240" w:lineRule="auto"/>
      </w:pPr>
      <w:r w:rsidRPr="00193478">
        <w:rPr>
          <w:b/>
        </w:rPr>
        <w:t>Data requirements:</w:t>
      </w:r>
      <w:r>
        <w:rPr>
          <w:b/>
        </w:rPr>
        <w:t xml:space="preserve"> </w:t>
      </w:r>
      <w:r w:rsidRPr="00193478">
        <w:t>Local price data</w:t>
      </w:r>
      <w:r>
        <w:t xml:space="preserve"> (either your primary or secondary data); global commodity prices</w:t>
      </w:r>
      <w:r>
        <w:rPr>
          <w:rStyle w:val="FootnoteReference"/>
        </w:rPr>
        <w:footnoteReference w:id="1"/>
      </w:r>
      <w:r>
        <w:t>; FAO food price indices</w:t>
      </w:r>
      <w:r w:rsidR="0044789A">
        <w:rPr>
          <w:rStyle w:val="FootnoteReference"/>
        </w:rPr>
        <w:footnoteReference w:id="2"/>
      </w:r>
    </w:p>
    <w:p w:rsidR="0044789A" w:rsidRDefault="0044789A" w:rsidP="0044789A">
      <w:pPr>
        <w:spacing w:line="240" w:lineRule="auto"/>
      </w:pPr>
      <w:r w:rsidRPr="008A3CC6">
        <w:rPr>
          <w:b/>
        </w:rPr>
        <w:t xml:space="preserve">How to </w:t>
      </w:r>
      <w:r>
        <w:rPr>
          <w:b/>
        </w:rPr>
        <w:t>compare</w:t>
      </w:r>
      <w:r w:rsidRPr="008A3CC6">
        <w:rPr>
          <w:b/>
        </w:rPr>
        <w:t xml:space="preserve"> local prices to </w:t>
      </w:r>
      <w:r>
        <w:rPr>
          <w:b/>
        </w:rPr>
        <w:t>global prices or indices</w:t>
      </w:r>
      <w:r w:rsidRPr="008A3CC6">
        <w:t>:</w:t>
      </w:r>
    </w:p>
    <w:p w:rsidR="0044789A" w:rsidRDefault="0044789A" w:rsidP="0044789A">
      <w:pPr>
        <w:pStyle w:val="ListParagraph"/>
        <w:numPr>
          <w:ilvl w:val="0"/>
          <w:numId w:val="2"/>
        </w:numPr>
        <w:spacing w:line="240" w:lineRule="auto"/>
      </w:pPr>
      <w:r>
        <w:t xml:space="preserve">Unless you are certain that your data is in the same quantity and currency as the global data, it is probably easiest to simply look at two similar graphs side-by-side. </w:t>
      </w:r>
    </w:p>
    <w:p w:rsidR="0044789A" w:rsidRDefault="0044789A" w:rsidP="0044789A">
      <w:pPr>
        <w:pStyle w:val="ListParagraph"/>
        <w:numPr>
          <w:ilvl w:val="0"/>
          <w:numId w:val="2"/>
        </w:numPr>
        <w:spacing w:line="240" w:lineRule="auto"/>
      </w:pPr>
      <w:r>
        <w:t xml:space="preserve">Create each graph using </w:t>
      </w:r>
      <w:r w:rsidRPr="00F46ADF">
        <w:rPr>
          <w:b/>
        </w:rPr>
        <w:t xml:space="preserve">the same timeframe on the </w:t>
      </w:r>
      <w:r w:rsidRPr="00F46ADF">
        <w:rPr>
          <w:b/>
          <w:i/>
        </w:rPr>
        <w:t>x</w:t>
      </w:r>
      <w:r w:rsidRPr="00F46ADF">
        <w:rPr>
          <w:b/>
        </w:rPr>
        <w:t>-axis</w:t>
      </w:r>
      <w:r>
        <w:t>.</w:t>
      </w:r>
    </w:p>
    <w:p w:rsidR="0044789A" w:rsidRDefault="0044789A" w:rsidP="0044789A">
      <w:pPr>
        <w:pStyle w:val="ListParagraph"/>
        <w:numPr>
          <w:ilvl w:val="0"/>
          <w:numId w:val="2"/>
        </w:numPr>
        <w:spacing w:line="240" w:lineRule="auto"/>
      </w:pPr>
      <w:r>
        <w:t>Look for similarities in trends between the two graphs.</w:t>
      </w:r>
    </w:p>
    <w:p w:rsidR="0044789A" w:rsidRDefault="0044789A" w:rsidP="0044789A">
      <w:pPr>
        <w:spacing w:line="240" w:lineRule="auto"/>
        <w:rPr>
          <w:b/>
        </w:rPr>
      </w:pPr>
      <w:r>
        <w:rPr>
          <w:b/>
        </w:rPr>
        <w:t>Example:</w:t>
      </w:r>
    </w:p>
    <w:p w:rsidR="00C35B12" w:rsidRPr="00C35B12" w:rsidRDefault="00C35B12" w:rsidP="00C35B12">
      <w:pPr>
        <w:spacing w:after="0" w:line="240" w:lineRule="auto"/>
      </w:pPr>
      <w:r>
        <w:rPr>
          <w:noProof/>
        </w:rPr>
        <w:drawing>
          <wp:anchor distT="0" distB="0" distL="114300" distR="114300" simplePos="0" relativeHeight="251659264" behindDoc="0" locked="0" layoutInCell="1" allowOverlap="1" wp14:anchorId="16AE8708" wp14:editId="407F059D">
            <wp:simplePos x="0" y="0"/>
            <wp:positionH relativeFrom="column">
              <wp:posOffset>238125</wp:posOffset>
            </wp:positionH>
            <wp:positionV relativeFrom="paragraph">
              <wp:posOffset>604520</wp:posOffset>
            </wp:positionV>
            <wp:extent cx="3152775" cy="2257425"/>
            <wp:effectExtent l="0" t="0" r="9525" b="9525"/>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Pr="00C35B12">
        <w:t>Here we compare</w:t>
      </w:r>
      <w:r>
        <w:t xml:space="preserve"> maize prices in Nigeria with global prices (US No. 2, Yellow, FOB U.S. Gulf as reported by USDA) and with the cereal price index compiled by FAO. We use the time period of the global food price crisis in 2008 to illustrate an extreme event. </w:t>
      </w:r>
    </w:p>
    <w:p w:rsidR="0044789A" w:rsidRPr="0044789A" w:rsidRDefault="00C35B12" w:rsidP="00C35B12">
      <w:pPr>
        <w:spacing w:after="0" w:line="240" w:lineRule="auto"/>
      </w:pPr>
      <w:r>
        <w:rPr>
          <w:noProof/>
        </w:rPr>
        <w:drawing>
          <wp:anchor distT="0" distB="0" distL="114300" distR="114300" simplePos="0" relativeHeight="251658240" behindDoc="0" locked="0" layoutInCell="1" allowOverlap="1" wp14:anchorId="741D7999" wp14:editId="29CED633">
            <wp:simplePos x="0" y="0"/>
            <wp:positionH relativeFrom="margin">
              <wp:posOffset>3648075</wp:posOffset>
            </wp:positionH>
            <wp:positionV relativeFrom="paragraph">
              <wp:posOffset>102870</wp:posOffset>
            </wp:positionV>
            <wp:extent cx="3171825" cy="2209800"/>
            <wp:effectExtent l="0" t="0" r="9525"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193478" w:rsidRDefault="00193478" w:rsidP="00C35B12">
      <w:pPr>
        <w:spacing w:after="0" w:line="240" w:lineRule="auto"/>
        <w:rPr>
          <w:b/>
        </w:rPr>
      </w:pPr>
    </w:p>
    <w:p w:rsidR="00D02058" w:rsidRDefault="00D02058" w:rsidP="00C35B12">
      <w:pPr>
        <w:spacing w:after="0"/>
        <w:jc w:val="center"/>
        <w:rPr>
          <w:b/>
        </w:rPr>
      </w:pPr>
    </w:p>
    <w:p w:rsidR="00C35B12" w:rsidRDefault="00C35B12" w:rsidP="00C35B12">
      <w:pPr>
        <w:spacing w:after="0"/>
        <w:jc w:val="center"/>
        <w:rPr>
          <w:b/>
        </w:rPr>
      </w:pPr>
    </w:p>
    <w:p w:rsidR="00C35B12" w:rsidRDefault="00C35B12" w:rsidP="00C35B12">
      <w:pPr>
        <w:spacing w:after="0"/>
        <w:jc w:val="center"/>
        <w:rPr>
          <w:b/>
        </w:rPr>
      </w:pPr>
    </w:p>
    <w:p w:rsidR="00C35B12" w:rsidRDefault="00C35B12" w:rsidP="00C35B12">
      <w:pPr>
        <w:spacing w:after="0"/>
        <w:jc w:val="center"/>
        <w:rPr>
          <w:b/>
        </w:rPr>
      </w:pPr>
    </w:p>
    <w:p w:rsidR="00C35B12" w:rsidRDefault="00C35B12" w:rsidP="00C35B12">
      <w:pPr>
        <w:spacing w:after="0"/>
        <w:jc w:val="center"/>
        <w:rPr>
          <w:b/>
        </w:rPr>
      </w:pPr>
    </w:p>
    <w:p w:rsidR="00C35B12" w:rsidRDefault="00C35B12" w:rsidP="00C35B12">
      <w:pPr>
        <w:spacing w:after="0"/>
        <w:jc w:val="center"/>
        <w:rPr>
          <w:b/>
        </w:rPr>
      </w:pPr>
    </w:p>
    <w:p w:rsidR="00C35B12" w:rsidRDefault="00C35B12" w:rsidP="00C35B12">
      <w:pPr>
        <w:spacing w:after="0"/>
        <w:jc w:val="center"/>
        <w:rPr>
          <w:b/>
        </w:rPr>
      </w:pPr>
    </w:p>
    <w:p w:rsidR="00C35B12" w:rsidRDefault="00C35B12" w:rsidP="00C35B12">
      <w:pPr>
        <w:spacing w:after="0"/>
        <w:jc w:val="center"/>
        <w:rPr>
          <w:b/>
        </w:rPr>
      </w:pPr>
    </w:p>
    <w:p w:rsidR="00C35B12" w:rsidRDefault="00C35B12" w:rsidP="00193478">
      <w:pPr>
        <w:jc w:val="center"/>
        <w:rPr>
          <w:b/>
        </w:rPr>
      </w:pPr>
    </w:p>
    <w:p w:rsidR="00C35B12" w:rsidRDefault="00C35B12" w:rsidP="00193478">
      <w:pPr>
        <w:jc w:val="center"/>
        <w:rPr>
          <w:b/>
        </w:rPr>
      </w:pPr>
    </w:p>
    <w:p w:rsidR="00C35B12" w:rsidRDefault="00C35B12" w:rsidP="00193478">
      <w:pPr>
        <w:jc w:val="center"/>
        <w:rPr>
          <w:b/>
        </w:rPr>
      </w:pPr>
      <w:r>
        <w:rPr>
          <w:noProof/>
        </w:rPr>
        <w:drawing>
          <wp:anchor distT="0" distB="0" distL="114300" distR="114300" simplePos="0" relativeHeight="251660288" behindDoc="0" locked="0" layoutInCell="1" allowOverlap="1" wp14:anchorId="4B23F03B" wp14:editId="3CC3EB04">
            <wp:simplePos x="0" y="0"/>
            <wp:positionH relativeFrom="column">
              <wp:posOffset>1714500</wp:posOffset>
            </wp:positionH>
            <wp:positionV relativeFrom="paragraph">
              <wp:posOffset>10160</wp:posOffset>
            </wp:positionV>
            <wp:extent cx="3552825" cy="2228850"/>
            <wp:effectExtent l="0" t="0" r="9525" b="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C35B12" w:rsidRDefault="00C35B12" w:rsidP="00193478">
      <w:pPr>
        <w:jc w:val="center"/>
        <w:rPr>
          <w:b/>
        </w:rPr>
      </w:pPr>
    </w:p>
    <w:p w:rsidR="00C35B12" w:rsidRDefault="00C35B12" w:rsidP="00193478">
      <w:pPr>
        <w:jc w:val="center"/>
        <w:rPr>
          <w:b/>
        </w:rPr>
      </w:pPr>
    </w:p>
    <w:p w:rsidR="00C35B12" w:rsidRDefault="00C35B12" w:rsidP="00193478">
      <w:pPr>
        <w:jc w:val="center"/>
        <w:rPr>
          <w:b/>
        </w:rPr>
      </w:pPr>
    </w:p>
    <w:p w:rsidR="00C35B12" w:rsidRDefault="00C35B12" w:rsidP="00193478">
      <w:pPr>
        <w:jc w:val="center"/>
        <w:rPr>
          <w:b/>
        </w:rPr>
      </w:pPr>
    </w:p>
    <w:p w:rsidR="00C35B12" w:rsidRDefault="00C35B12" w:rsidP="00193478">
      <w:pPr>
        <w:jc w:val="center"/>
        <w:rPr>
          <w:b/>
        </w:rPr>
      </w:pPr>
    </w:p>
    <w:p w:rsidR="00C35B12" w:rsidRDefault="00C35B12" w:rsidP="00193478">
      <w:pPr>
        <w:jc w:val="center"/>
        <w:rPr>
          <w:b/>
        </w:rPr>
      </w:pPr>
    </w:p>
    <w:p w:rsidR="00C35B12" w:rsidRDefault="00C35B12" w:rsidP="00193478">
      <w:pPr>
        <w:jc w:val="center"/>
        <w:rPr>
          <w:b/>
        </w:rPr>
      </w:pPr>
    </w:p>
    <w:p w:rsidR="00C35B12" w:rsidRPr="00C35B12" w:rsidRDefault="00C35B12" w:rsidP="00C35B12">
      <w:r w:rsidRPr="00C35B12">
        <w:rPr>
          <w:b/>
        </w:rPr>
        <w:t>Interpretation:</w:t>
      </w:r>
      <w:r>
        <w:rPr>
          <w:b/>
        </w:rPr>
        <w:t xml:space="preserve"> </w:t>
      </w:r>
      <w:r w:rsidRPr="00C35B12">
        <w:t>We see</w:t>
      </w:r>
      <w:r>
        <w:rPr>
          <w:b/>
        </w:rPr>
        <w:t xml:space="preserve"> </w:t>
      </w:r>
      <w:r>
        <w:t>the same trend in all three graphs. We can assume the price increase witnessed in Nigeria was linked to the global food price spike for maize.</w:t>
      </w:r>
    </w:p>
    <w:sectPr w:rsidR="00C35B12" w:rsidRPr="00C35B12" w:rsidSect="003F35EA">
      <w:headerReference w:type="default" r:id="rId10"/>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D7C" w:rsidRDefault="00427D7C" w:rsidP="00193478">
      <w:pPr>
        <w:spacing w:after="0" w:line="240" w:lineRule="auto"/>
      </w:pPr>
      <w:r>
        <w:separator/>
      </w:r>
    </w:p>
  </w:endnote>
  <w:endnote w:type="continuationSeparator" w:id="0">
    <w:p w:rsidR="00427D7C" w:rsidRDefault="00427D7C" w:rsidP="00193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D7C" w:rsidRDefault="00427D7C" w:rsidP="00193478">
      <w:pPr>
        <w:spacing w:after="0" w:line="240" w:lineRule="auto"/>
      </w:pPr>
      <w:r>
        <w:separator/>
      </w:r>
    </w:p>
  </w:footnote>
  <w:footnote w:type="continuationSeparator" w:id="0">
    <w:p w:rsidR="00427D7C" w:rsidRDefault="00427D7C" w:rsidP="00193478">
      <w:pPr>
        <w:spacing w:after="0" w:line="240" w:lineRule="auto"/>
      </w:pPr>
      <w:r>
        <w:continuationSeparator/>
      </w:r>
    </w:p>
  </w:footnote>
  <w:footnote w:id="1">
    <w:p w:rsidR="00193478" w:rsidRPr="00193478" w:rsidRDefault="00193478" w:rsidP="00193478">
      <w:pPr>
        <w:spacing w:after="120" w:line="240" w:lineRule="auto"/>
        <w:rPr>
          <w:rFonts w:eastAsiaTheme="majorEastAsia" w:cstheme="majorBidi"/>
          <w:bCs/>
          <w:color w:val="000000" w:themeColor="text1"/>
          <w:sz w:val="20"/>
          <w:szCs w:val="20"/>
        </w:rPr>
      </w:pPr>
      <w:r w:rsidRPr="00193478">
        <w:rPr>
          <w:rStyle w:val="FootnoteReference"/>
          <w:sz w:val="20"/>
          <w:szCs w:val="20"/>
        </w:rPr>
        <w:footnoteRef/>
      </w:r>
      <w:r w:rsidRPr="00193478">
        <w:rPr>
          <w:sz w:val="20"/>
          <w:szCs w:val="20"/>
        </w:rPr>
        <w:t xml:space="preserve"> Global food prices </w:t>
      </w:r>
      <w:r w:rsidR="0044789A">
        <w:rPr>
          <w:sz w:val="20"/>
          <w:szCs w:val="20"/>
        </w:rPr>
        <w:t xml:space="preserve">for wheat, maize, rice, soybeans and oil </w:t>
      </w:r>
      <w:r w:rsidRPr="00193478">
        <w:rPr>
          <w:sz w:val="20"/>
          <w:szCs w:val="20"/>
        </w:rPr>
        <w:t xml:space="preserve">are available from </w:t>
      </w:r>
      <w:hyperlink r:id="rId1" w:history="1">
        <w:r w:rsidRPr="00193478">
          <w:rPr>
            <w:rStyle w:val="Hyperlink"/>
            <w:rFonts w:eastAsiaTheme="majorEastAsia" w:cstheme="majorBidi"/>
            <w:sz w:val="20"/>
            <w:szCs w:val="20"/>
          </w:rPr>
          <w:t>http://www.foodsecurityportal.org/api/world-commodity-prices</w:t>
        </w:r>
      </w:hyperlink>
      <w:r w:rsidR="0044789A">
        <w:rPr>
          <w:rStyle w:val="Heading3Char"/>
          <w:b w:val="0"/>
          <w:sz w:val="20"/>
          <w:szCs w:val="20"/>
        </w:rPr>
        <w:t>.</w:t>
      </w:r>
    </w:p>
  </w:footnote>
  <w:footnote w:id="2">
    <w:p w:rsidR="0044789A" w:rsidRDefault="0044789A">
      <w:pPr>
        <w:pStyle w:val="FootnoteText"/>
      </w:pPr>
      <w:r>
        <w:rPr>
          <w:rStyle w:val="FootnoteReference"/>
        </w:rPr>
        <w:footnoteRef/>
      </w:r>
      <w:r>
        <w:t xml:space="preserve"> FAO Food Price Indices are available at </w:t>
      </w:r>
      <w:hyperlink r:id="rId2" w:history="1">
        <w:r w:rsidRPr="00896F23">
          <w:rPr>
            <w:rStyle w:val="Hyperlink"/>
          </w:rPr>
          <w:t>http://www.fao.org/worldfoodsituation/foodpricesindex/en/</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5EA" w:rsidRPr="003F35EA" w:rsidRDefault="003F35EA" w:rsidP="003F35EA">
    <w:pPr>
      <w:pStyle w:val="Header"/>
      <w:spacing w:after="240"/>
      <w:rPr>
        <w:color w:val="808080" w:themeColor="background1" w:themeShade="80"/>
      </w:rPr>
    </w:pPr>
    <w:r w:rsidRPr="003F35EA">
      <w:rPr>
        <w:color w:val="808080" w:themeColor="background1" w:themeShade="80"/>
      </w:rPr>
      <w:t>For use with MARKit manual section 5.6 Global food prices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A3A73"/>
    <w:multiLevelType w:val="hybridMultilevel"/>
    <w:tmpl w:val="66C4D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F45581"/>
    <w:multiLevelType w:val="hybridMultilevel"/>
    <w:tmpl w:val="CCF0A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478"/>
    <w:rsid w:val="00052BF9"/>
    <w:rsid w:val="00193478"/>
    <w:rsid w:val="003F35EA"/>
    <w:rsid w:val="00427D7C"/>
    <w:rsid w:val="0044789A"/>
    <w:rsid w:val="00460B75"/>
    <w:rsid w:val="005944B1"/>
    <w:rsid w:val="00874C10"/>
    <w:rsid w:val="00984619"/>
    <w:rsid w:val="009B5341"/>
    <w:rsid w:val="00C35B12"/>
    <w:rsid w:val="00D00A57"/>
    <w:rsid w:val="00D02058"/>
    <w:rsid w:val="00F46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21655-9068-46B0-B0B9-7F95B19F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193478"/>
    <w:pPr>
      <w:keepNext/>
      <w:keepLines/>
      <w:spacing w:before="200" w:after="0" w:line="240" w:lineRule="auto"/>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3478"/>
    <w:rPr>
      <w:rFonts w:eastAsiaTheme="majorEastAsia" w:cstheme="majorBidi"/>
      <w:b/>
      <w:bCs/>
      <w:color w:val="000000" w:themeColor="text1"/>
    </w:rPr>
  </w:style>
  <w:style w:type="paragraph" w:styleId="ListParagraph">
    <w:name w:val="List Paragraph"/>
    <w:basedOn w:val="Normal"/>
    <w:uiPriority w:val="34"/>
    <w:qFormat/>
    <w:rsid w:val="00193478"/>
    <w:pPr>
      <w:spacing w:after="200" w:line="276" w:lineRule="auto"/>
      <w:ind w:left="720"/>
      <w:contextualSpacing/>
    </w:pPr>
  </w:style>
  <w:style w:type="character" w:styleId="Hyperlink">
    <w:name w:val="Hyperlink"/>
    <w:basedOn w:val="DefaultParagraphFont"/>
    <w:uiPriority w:val="99"/>
    <w:unhideWhenUsed/>
    <w:rsid w:val="00193478"/>
    <w:rPr>
      <w:color w:val="0563C1" w:themeColor="hyperlink"/>
      <w:u w:val="single"/>
    </w:rPr>
  </w:style>
  <w:style w:type="paragraph" w:styleId="FootnoteText">
    <w:name w:val="footnote text"/>
    <w:basedOn w:val="Normal"/>
    <w:link w:val="FootnoteTextChar"/>
    <w:uiPriority w:val="99"/>
    <w:semiHidden/>
    <w:unhideWhenUsed/>
    <w:rsid w:val="001934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3478"/>
    <w:rPr>
      <w:sz w:val="20"/>
      <w:szCs w:val="20"/>
    </w:rPr>
  </w:style>
  <w:style w:type="character" w:styleId="FootnoteReference">
    <w:name w:val="footnote reference"/>
    <w:basedOn w:val="DefaultParagraphFont"/>
    <w:uiPriority w:val="99"/>
    <w:semiHidden/>
    <w:unhideWhenUsed/>
    <w:rsid w:val="00193478"/>
    <w:rPr>
      <w:vertAlign w:val="superscript"/>
    </w:rPr>
  </w:style>
  <w:style w:type="paragraph" w:styleId="Header">
    <w:name w:val="header"/>
    <w:basedOn w:val="Normal"/>
    <w:link w:val="HeaderChar"/>
    <w:uiPriority w:val="99"/>
    <w:unhideWhenUsed/>
    <w:rsid w:val="003F3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5EA"/>
  </w:style>
  <w:style w:type="paragraph" w:styleId="Footer">
    <w:name w:val="footer"/>
    <w:basedOn w:val="Normal"/>
    <w:link w:val="FooterChar"/>
    <w:uiPriority w:val="99"/>
    <w:unhideWhenUsed/>
    <w:rsid w:val="003F3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s>
</file>

<file path=word/_rels/footnotes.xml.rels><?xml version="1.0" encoding="UTF-8" standalone="yes"?>
<Relationships xmlns="http://schemas.openxmlformats.org/package/2006/relationships"><Relationship Id="rId2" Type="http://schemas.openxmlformats.org/officeDocument/2006/relationships/hyperlink" Target="http://www.fao.org/worldfoodsituation/foodpricesindex/en/" TargetMode="External"/><Relationship Id="rId1" Type="http://schemas.openxmlformats.org/officeDocument/2006/relationships/hyperlink" Target="http://www.foodsecurityportal.org/api/world-commodity-price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Cramer\Dropbox%20(Personal)\CRS%20consultancy\MARKit\Excel%20worksheets%20and%20data\worksheet%206%20exampl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LCramer\Dropbox%20(Personal)\CRS%20consultancy\MARKit\Excel%20worksheets%20and%20data\worksheet%206%20example.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Wholesale maize prices in Nigeria (US$/kg)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0"/>
          <c:tx>
            <c:strRef>
              <c:f>Sheet2!$A$2</c:f>
              <c:strCache>
                <c:ptCount val="1"/>
                <c:pt idx="0">
                  <c:v>Nigeria</c:v>
                </c:pt>
              </c:strCache>
            </c:strRef>
          </c:tx>
          <c:spPr>
            <a:ln w="28575" cap="rnd">
              <a:solidFill>
                <a:schemeClr val="accent2"/>
              </a:solidFill>
              <a:round/>
            </a:ln>
            <a:effectLst/>
          </c:spPr>
          <c:marker>
            <c:symbol val="none"/>
          </c:marker>
          <c:cat>
            <c:numRef>
              <c:f>Sheet2!$B$1:$Y$1</c:f>
              <c:numCache>
                <c:formatCode>[$-409]mmm\-yy;@</c:formatCode>
                <c:ptCount val="24"/>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numCache>
            </c:numRef>
          </c:cat>
          <c:val>
            <c:numRef>
              <c:f>Sheet2!$B$2:$Y$2</c:f>
              <c:numCache>
                <c:formatCode>General</c:formatCode>
                <c:ptCount val="24"/>
                <c:pt idx="0">
                  <c:v>0.25</c:v>
                </c:pt>
                <c:pt idx="1">
                  <c:v>0.18</c:v>
                </c:pt>
                <c:pt idx="2">
                  <c:v>0.19</c:v>
                </c:pt>
                <c:pt idx="3">
                  <c:v>0.18</c:v>
                </c:pt>
                <c:pt idx="4">
                  <c:v>0.18</c:v>
                </c:pt>
                <c:pt idx="5">
                  <c:v>0.19</c:v>
                </c:pt>
                <c:pt idx="6">
                  <c:v>0.19</c:v>
                </c:pt>
                <c:pt idx="7">
                  <c:v>0.22</c:v>
                </c:pt>
                <c:pt idx="8">
                  <c:v>0.22</c:v>
                </c:pt>
                <c:pt idx="9">
                  <c:v>0.32</c:v>
                </c:pt>
                <c:pt idx="10">
                  <c:v>0.36</c:v>
                </c:pt>
                <c:pt idx="11">
                  <c:v>0.37</c:v>
                </c:pt>
                <c:pt idx="12">
                  <c:v>0.47</c:v>
                </c:pt>
                <c:pt idx="13">
                  <c:v>0.47</c:v>
                </c:pt>
                <c:pt idx="14">
                  <c:v>0.49</c:v>
                </c:pt>
                <c:pt idx="15">
                  <c:v>0.44</c:v>
                </c:pt>
                <c:pt idx="16">
                  <c:v>0.54</c:v>
                </c:pt>
                <c:pt idx="17">
                  <c:v>0.54</c:v>
                </c:pt>
                <c:pt idx="18">
                  <c:v>0.63</c:v>
                </c:pt>
                <c:pt idx="19">
                  <c:v>0.55000000000000004</c:v>
                </c:pt>
                <c:pt idx="20">
                  <c:v>0.57999999999999996</c:v>
                </c:pt>
                <c:pt idx="21">
                  <c:v>0.55000000000000004</c:v>
                </c:pt>
                <c:pt idx="22">
                  <c:v>0.38</c:v>
                </c:pt>
                <c:pt idx="23">
                  <c:v>0.35</c:v>
                </c:pt>
              </c:numCache>
            </c:numRef>
          </c:val>
          <c:smooth val="0"/>
        </c:ser>
        <c:dLbls>
          <c:showLegendKey val="0"/>
          <c:showVal val="0"/>
          <c:showCatName val="0"/>
          <c:showSerName val="0"/>
          <c:showPercent val="0"/>
          <c:showBubbleSize val="0"/>
        </c:dLbls>
        <c:smooth val="0"/>
        <c:axId val="507996704"/>
        <c:axId val="507997096"/>
      </c:lineChart>
      <c:dateAx>
        <c:axId val="507996704"/>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7997096"/>
        <c:crosses val="autoZero"/>
        <c:auto val="1"/>
        <c:lblOffset val="100"/>
        <c:baseTimeUnit val="months"/>
      </c:dateAx>
      <c:valAx>
        <c:axId val="507997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7996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World maize price (US$/kg)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'\Users\LCramer\Downloads\[world-commodity-pric (2).csv]world-commodity-pric (2)'!$A$2</c:f>
              <c:strCache>
                <c:ptCount val="1"/>
                <c:pt idx="0">
                  <c:v>Maize</c:v>
                </c:pt>
              </c:strCache>
            </c:strRef>
          </c:tx>
          <c:spPr>
            <a:ln w="28575" cap="rnd">
              <a:solidFill>
                <a:schemeClr val="accent1"/>
              </a:solidFill>
              <a:round/>
            </a:ln>
            <a:effectLst/>
          </c:spPr>
          <c:marker>
            <c:symbol val="none"/>
          </c:marker>
          <c:cat>
            <c:numRef>
              <c:f>'\Users\LCramer\Downloads\[world-commodity-pric (2).csv]world-commodity-pric (2)'!$B$1:$Y$1</c:f>
              <c:numCache>
                <c:formatCode>[$-409]mmm\-yy;@</c:formatCode>
                <c:ptCount val="24"/>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numCache>
            </c:numRef>
          </c:cat>
          <c:val>
            <c:numRef>
              <c:f>'\Users\LCramer\Downloads\[world-commodity-pric (2).csv]world-commodity-pric (2)'!$B$2:$Y$2</c:f>
              <c:numCache>
                <c:formatCode>General</c:formatCode>
                <c:ptCount val="24"/>
                <c:pt idx="0">
                  <c:v>0.16</c:v>
                </c:pt>
                <c:pt idx="1">
                  <c:v>0.17</c:v>
                </c:pt>
                <c:pt idx="2">
                  <c:v>0.17</c:v>
                </c:pt>
                <c:pt idx="3">
                  <c:v>0.15</c:v>
                </c:pt>
                <c:pt idx="4">
                  <c:v>0.16</c:v>
                </c:pt>
                <c:pt idx="5">
                  <c:v>0.16</c:v>
                </c:pt>
                <c:pt idx="6">
                  <c:v>0.15</c:v>
                </c:pt>
                <c:pt idx="7">
                  <c:v>0.15</c:v>
                </c:pt>
                <c:pt idx="8">
                  <c:v>0.16</c:v>
                </c:pt>
                <c:pt idx="9">
                  <c:v>0.16</c:v>
                </c:pt>
                <c:pt idx="10">
                  <c:v>0.17</c:v>
                </c:pt>
                <c:pt idx="11">
                  <c:v>0.18</c:v>
                </c:pt>
                <c:pt idx="12">
                  <c:v>0.2</c:v>
                </c:pt>
                <c:pt idx="13">
                  <c:v>0.22</c:v>
                </c:pt>
                <c:pt idx="14">
                  <c:v>0.23</c:v>
                </c:pt>
                <c:pt idx="15">
                  <c:v>0.25</c:v>
                </c:pt>
                <c:pt idx="16">
                  <c:v>0.24</c:v>
                </c:pt>
                <c:pt idx="17">
                  <c:v>0.28000000000000003</c:v>
                </c:pt>
                <c:pt idx="18">
                  <c:v>0.27</c:v>
                </c:pt>
                <c:pt idx="19">
                  <c:v>0.24</c:v>
                </c:pt>
                <c:pt idx="20">
                  <c:v>0.23</c:v>
                </c:pt>
                <c:pt idx="21">
                  <c:v>0.19</c:v>
                </c:pt>
                <c:pt idx="22">
                  <c:v>0.17</c:v>
                </c:pt>
                <c:pt idx="23">
                  <c:v>0.16</c:v>
                </c:pt>
              </c:numCache>
            </c:numRef>
          </c:val>
          <c:smooth val="0"/>
        </c:ser>
        <c:dLbls>
          <c:showLegendKey val="0"/>
          <c:showVal val="0"/>
          <c:showCatName val="0"/>
          <c:showSerName val="0"/>
          <c:showPercent val="0"/>
          <c:showBubbleSize val="0"/>
        </c:dLbls>
        <c:smooth val="0"/>
        <c:axId val="507990432"/>
        <c:axId val="507990824"/>
      </c:lineChart>
      <c:dateAx>
        <c:axId val="507990432"/>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7990824"/>
        <c:crosses val="autoZero"/>
        <c:auto val="1"/>
        <c:lblOffset val="100"/>
        <c:baseTimeUnit val="months"/>
      </c:dateAx>
      <c:valAx>
        <c:axId val="507990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7990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2"/>
          <c:order val="0"/>
          <c:tx>
            <c:strRef>
              <c:f>Sheet2!$A$4</c:f>
              <c:strCache>
                <c:ptCount val="1"/>
                <c:pt idx="0">
                  <c:v>FAO Cereals Price Index</c:v>
                </c:pt>
              </c:strCache>
            </c:strRef>
          </c:tx>
          <c:spPr>
            <a:ln w="28575" cap="rnd">
              <a:solidFill>
                <a:schemeClr val="accent3"/>
              </a:solidFill>
              <a:round/>
            </a:ln>
            <a:effectLst/>
          </c:spPr>
          <c:marker>
            <c:symbol val="none"/>
          </c:marker>
          <c:cat>
            <c:numRef>
              <c:f>Sheet2!$B$1:$Y$1</c:f>
              <c:numCache>
                <c:formatCode>[$-409]mmm\-yy;@</c:formatCode>
                <c:ptCount val="24"/>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numCache>
            </c:numRef>
          </c:cat>
          <c:val>
            <c:numRef>
              <c:f>Sheet2!$B$4:$Y$4</c:f>
              <c:numCache>
                <c:formatCode>0.0</c:formatCode>
                <c:ptCount val="24"/>
                <c:pt idx="0">
                  <c:v>141.23252581797939</c:v>
                </c:pt>
                <c:pt idx="1">
                  <c:v>146.39626494812293</c:v>
                </c:pt>
                <c:pt idx="2">
                  <c:v>145.16907964360496</c:v>
                </c:pt>
                <c:pt idx="3">
                  <c:v>141.02102447286674</c:v>
                </c:pt>
                <c:pt idx="4">
                  <c:v>144.00014567041183</c:v>
                </c:pt>
                <c:pt idx="5">
                  <c:v>152.24718804011809</c:v>
                </c:pt>
                <c:pt idx="6">
                  <c:v>153.37977055181784</c:v>
                </c:pt>
                <c:pt idx="7">
                  <c:v>162.67253720212722</c:v>
                </c:pt>
                <c:pt idx="8">
                  <c:v>182.43269223509296</c:v>
                </c:pt>
                <c:pt idx="9">
                  <c:v>190.27126545401788</c:v>
                </c:pt>
                <c:pt idx="10">
                  <c:v>192.26844951874281</c:v>
                </c:pt>
                <c:pt idx="11">
                  <c:v>209.98626856279628</c:v>
                </c:pt>
                <c:pt idx="12">
                  <c:v>227.59558669013319</c:v>
                </c:pt>
                <c:pt idx="13">
                  <c:v>263.66514169033138</c:v>
                </c:pt>
                <c:pt idx="14">
                  <c:v>267.48287283072261</c:v>
                </c:pt>
                <c:pt idx="15">
                  <c:v>264.36219062836324</c:v>
                </c:pt>
                <c:pt idx="16">
                  <c:v>256.32018198710819</c:v>
                </c:pt>
                <c:pt idx="17">
                  <c:v>267.69005491696828</c:v>
                </c:pt>
                <c:pt idx="18">
                  <c:v>250.34335675147244</c:v>
                </c:pt>
                <c:pt idx="19">
                  <c:v>233.57117553667862</c:v>
                </c:pt>
                <c:pt idx="20">
                  <c:v>220.68398110239718</c:v>
                </c:pt>
                <c:pt idx="21">
                  <c:v>186.69954148917171</c:v>
                </c:pt>
                <c:pt idx="22">
                  <c:v>174.74196649631861</c:v>
                </c:pt>
                <c:pt idx="23">
                  <c:v>172.56139232105659</c:v>
                </c:pt>
              </c:numCache>
            </c:numRef>
          </c:val>
          <c:smooth val="0"/>
        </c:ser>
        <c:dLbls>
          <c:showLegendKey val="0"/>
          <c:showVal val="0"/>
          <c:showCatName val="0"/>
          <c:showSerName val="0"/>
          <c:showPercent val="0"/>
          <c:showBubbleSize val="0"/>
        </c:dLbls>
        <c:smooth val="0"/>
        <c:axId val="507992000"/>
        <c:axId val="507992392"/>
      </c:lineChart>
      <c:dateAx>
        <c:axId val="507992000"/>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7992392"/>
        <c:crosses val="autoZero"/>
        <c:auto val="1"/>
        <c:lblOffset val="100"/>
        <c:baseTimeUnit val="months"/>
      </c:dateAx>
      <c:valAx>
        <c:axId val="5079923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7992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LCramer</dc:creator>
  <cp:keywords/>
  <dc:description/>
  <cp:lastModifiedBy>LCramer</cp:lastModifiedBy>
  <cp:revision>6</cp:revision>
  <dcterms:created xsi:type="dcterms:W3CDTF">2015-01-31T13:36:00Z</dcterms:created>
  <dcterms:modified xsi:type="dcterms:W3CDTF">2015-06-06T13:12:00Z</dcterms:modified>
</cp:coreProperties>
</file>