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78" w:rsidRPr="00F547BF" w:rsidRDefault="00F547BF" w:rsidP="00AD7A33">
      <w:pPr>
        <w:spacing w:after="120" w:line="240" w:lineRule="auto"/>
        <w:jc w:val="center"/>
        <w:rPr>
          <w:b/>
          <w:lang w:val="fr-FR"/>
        </w:rPr>
      </w:pPr>
      <w:bookmarkStart w:id="0" w:name="_GoBack"/>
      <w:bookmarkEnd w:id="0"/>
      <w:r w:rsidRPr="00F547BF">
        <w:rPr>
          <w:b/>
          <w:lang w:val="fr-FR"/>
        </w:rPr>
        <w:t>FEUILLE DE TRAVAIL</w:t>
      </w:r>
      <w:r w:rsidR="00AD7A33" w:rsidRPr="00F547BF">
        <w:rPr>
          <w:b/>
          <w:lang w:val="fr-FR"/>
        </w:rPr>
        <w:t xml:space="preserve"> 10</w:t>
      </w:r>
      <w:r w:rsidR="00193478" w:rsidRPr="00F547BF">
        <w:rPr>
          <w:b/>
          <w:lang w:val="fr-FR"/>
        </w:rPr>
        <w:t xml:space="preserve">: </w:t>
      </w:r>
      <w:r w:rsidR="009D73DC" w:rsidRPr="009D73DC">
        <w:rPr>
          <w:b/>
          <w:lang w:val="fr-FR"/>
        </w:rPr>
        <w:t>PRIX DU CARBURANT</w:t>
      </w:r>
    </w:p>
    <w:p w:rsidR="00193478" w:rsidRPr="00292E12" w:rsidRDefault="00F547BF" w:rsidP="00193478">
      <w:pPr>
        <w:spacing w:after="120" w:line="240" w:lineRule="auto"/>
        <w:rPr>
          <w:lang w:val="fr-FR"/>
        </w:rPr>
      </w:pPr>
      <w:r w:rsidRPr="00292E12">
        <w:rPr>
          <w:b/>
          <w:lang w:val="fr-FR"/>
        </w:rPr>
        <w:t>De quoi s´agit-il?</w:t>
      </w:r>
      <w:r w:rsidR="00292E12" w:rsidRPr="00292E12">
        <w:rPr>
          <w:b/>
          <w:lang w:val="fr-FR"/>
        </w:rPr>
        <w:t xml:space="preserve"> </w:t>
      </w:r>
      <w:r w:rsidR="00193478" w:rsidRPr="00292E12">
        <w:rPr>
          <w:b/>
          <w:lang w:val="fr-FR"/>
        </w:rPr>
        <w:t xml:space="preserve">: </w:t>
      </w:r>
      <w:r w:rsidR="00292E12" w:rsidRPr="00292E12">
        <w:rPr>
          <w:lang w:val="fr-FR"/>
        </w:rPr>
        <w:t>Le coût du transport peut constituer une partie importante du prix d'un produit, en particulier dans les zones reculées. Les prix des carburants, par conséquent, peuvent influer sur les prix des produits de base, soit en augmentant ou en les diminuant</w:t>
      </w:r>
      <w:r w:rsidR="00E708CD" w:rsidRPr="00292E12">
        <w:rPr>
          <w:lang w:val="fr-FR"/>
        </w:rPr>
        <w:t>.</w:t>
      </w:r>
    </w:p>
    <w:p w:rsidR="00193478" w:rsidRPr="00292E12" w:rsidRDefault="00292E12" w:rsidP="00193478">
      <w:pPr>
        <w:spacing w:after="120" w:line="240" w:lineRule="auto"/>
        <w:rPr>
          <w:lang w:val="fr-FR"/>
        </w:rPr>
      </w:pPr>
      <w:r w:rsidRPr="00292E12">
        <w:rPr>
          <w:b/>
          <w:lang w:val="fr-FR"/>
        </w:rPr>
        <w:t>Conditions de données</w:t>
      </w:r>
      <w:r w:rsidR="00193478" w:rsidRPr="00292E12">
        <w:rPr>
          <w:b/>
          <w:lang w:val="fr-FR"/>
        </w:rPr>
        <w:t xml:space="preserve">: </w:t>
      </w:r>
      <w:r w:rsidRPr="00292E12">
        <w:rPr>
          <w:lang w:val="fr-FR"/>
        </w:rPr>
        <w:t>Données sur les prix locaux (soit vos données primaires ou secondaires); données sur les prix du carburant pour votre pays ou votre zone d'intervention</w:t>
      </w:r>
      <w:r w:rsidRPr="00292E12">
        <w:rPr>
          <w:vertAlign w:val="superscript"/>
          <w:lang w:val="fr-FR"/>
        </w:rPr>
        <w:t xml:space="preserve"> </w:t>
      </w:r>
      <w:r w:rsidR="00E708CD">
        <w:rPr>
          <w:rStyle w:val="Appelnotedebasdep"/>
        </w:rPr>
        <w:footnoteReference w:id="1"/>
      </w:r>
    </w:p>
    <w:p w:rsidR="0044789A" w:rsidRDefault="00292E12" w:rsidP="0044789A">
      <w:pPr>
        <w:spacing w:line="240" w:lineRule="auto"/>
      </w:pPr>
      <w:r>
        <w:rPr>
          <w:b/>
        </w:rPr>
        <w:t xml:space="preserve">Comment faire </w:t>
      </w:r>
      <w:r w:rsidRPr="004A22CA">
        <w:rPr>
          <w:b/>
          <w:lang w:val="fr-FR"/>
        </w:rPr>
        <w:t>le calcul</w:t>
      </w:r>
      <w:r w:rsidR="0044789A" w:rsidRPr="004A22CA">
        <w:rPr>
          <w:lang w:val="fr-FR"/>
        </w:rPr>
        <w:t>:</w:t>
      </w:r>
    </w:p>
    <w:p w:rsidR="0044789A" w:rsidRPr="00292E12" w:rsidRDefault="00292E12" w:rsidP="0044789A">
      <w:pPr>
        <w:pStyle w:val="Paragraphedeliste"/>
        <w:numPr>
          <w:ilvl w:val="0"/>
          <w:numId w:val="2"/>
        </w:numPr>
        <w:spacing w:line="240" w:lineRule="auto"/>
        <w:rPr>
          <w:lang w:val="fr-FR"/>
        </w:rPr>
      </w:pPr>
      <w:r w:rsidRPr="00292E12">
        <w:rPr>
          <w:lang w:val="fr-FR"/>
        </w:rPr>
        <w:t>Tracer un graphique montrant à la fois le prix du carburant et des produits de base</w:t>
      </w:r>
      <w:r w:rsidR="0044789A" w:rsidRPr="00292E12">
        <w:rPr>
          <w:lang w:val="fr-FR"/>
        </w:rPr>
        <w:t>.</w:t>
      </w:r>
      <w:r w:rsidR="002D53C6" w:rsidRPr="00292E12">
        <w:rPr>
          <w:noProof/>
          <w:lang w:val="fr-FR"/>
        </w:rPr>
        <w:t xml:space="preserve"> </w:t>
      </w:r>
    </w:p>
    <w:p w:rsidR="002D53C6" w:rsidRPr="00292E12" w:rsidRDefault="00292E12" w:rsidP="002D53C6">
      <w:pPr>
        <w:pStyle w:val="Paragraphedeliste"/>
        <w:numPr>
          <w:ilvl w:val="1"/>
          <w:numId w:val="2"/>
        </w:numPr>
        <w:spacing w:line="240" w:lineRule="auto"/>
        <w:rPr>
          <w:lang w:val="fr-FR"/>
        </w:rPr>
      </w:pPr>
      <w:r w:rsidRPr="00292E12">
        <w:rPr>
          <w:noProof/>
          <w:lang w:val="fr-FR"/>
        </w:rPr>
        <w:t>Si vos données sont à des échelles différentes (comme on le voit dans l'exemple ci-dessous), sélectionnez l'une des séries de données dans Excel, clic droit, et sélectionnez "Format de série de données." Dans les options, sélectionnez "</w:t>
      </w:r>
      <w:r>
        <w:rPr>
          <w:noProof/>
          <w:lang w:val="fr-FR"/>
        </w:rPr>
        <w:t xml:space="preserve">Tracer </w:t>
      </w:r>
      <w:r w:rsidR="00F84BE8">
        <w:rPr>
          <w:noProof/>
          <w:lang w:val="fr-FR"/>
        </w:rPr>
        <w:t xml:space="preserve">la </w:t>
      </w:r>
      <w:r w:rsidRPr="00292E12">
        <w:rPr>
          <w:noProof/>
          <w:lang w:val="fr-FR"/>
        </w:rPr>
        <w:t>série sur l'axe secondaire» afin d'être mieux en mesure de comparer les tendances</w:t>
      </w:r>
      <w:r w:rsidR="002D53C6" w:rsidRPr="00292E12">
        <w:rPr>
          <w:noProof/>
          <w:lang w:val="fr-FR"/>
        </w:rPr>
        <w:t>.</w:t>
      </w:r>
    </w:p>
    <w:p w:rsidR="0044789A" w:rsidRDefault="004A22CA" w:rsidP="0044789A">
      <w:pPr>
        <w:spacing w:line="240" w:lineRule="auto"/>
        <w:rPr>
          <w:b/>
        </w:rPr>
      </w:pPr>
      <w:r>
        <w:rPr>
          <w:noProof/>
          <w:lang w:val="fr-FR" w:eastAsia="fr-FR"/>
        </w:rPr>
        <w:drawing>
          <wp:anchor distT="0" distB="0" distL="114300" distR="114300" simplePos="0" relativeHeight="251659264" behindDoc="0" locked="0" layoutInCell="1" allowOverlap="1" wp14:anchorId="2A5BA5FF" wp14:editId="18FBF8F0">
            <wp:simplePos x="0" y="0"/>
            <wp:positionH relativeFrom="column">
              <wp:posOffset>2804397</wp:posOffset>
            </wp:positionH>
            <wp:positionV relativeFrom="paragraph">
              <wp:posOffset>242570</wp:posOffset>
            </wp:positionV>
            <wp:extent cx="3875405" cy="2524760"/>
            <wp:effectExtent l="0" t="0" r="10795" b="27940"/>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4789A">
        <w:rPr>
          <w:b/>
        </w:rPr>
        <w:t>Example:</w:t>
      </w:r>
    </w:p>
    <w:tbl>
      <w:tblPr>
        <w:tblW w:w="3239"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983"/>
        <w:gridCol w:w="1316"/>
      </w:tblGrid>
      <w:tr w:rsidR="002D53C6" w:rsidRPr="002A39E3" w:rsidTr="00F84BE8">
        <w:trPr>
          <w:trHeight w:val="300"/>
        </w:trPr>
        <w:tc>
          <w:tcPr>
            <w:tcW w:w="940" w:type="dxa"/>
            <w:shd w:val="clear" w:color="auto" w:fill="auto"/>
            <w:noWrap/>
            <w:vAlign w:val="bottom"/>
            <w:hideMark/>
          </w:tcPr>
          <w:p w:rsidR="002D53C6" w:rsidRPr="002D53C6" w:rsidRDefault="002D53C6" w:rsidP="002D53C6">
            <w:pPr>
              <w:spacing w:after="0" w:line="240" w:lineRule="auto"/>
              <w:rPr>
                <w:rFonts w:ascii="Times New Roman" w:eastAsia="Times New Roman" w:hAnsi="Times New Roman" w:cs="Times New Roman"/>
                <w:sz w:val="24"/>
                <w:szCs w:val="24"/>
              </w:rPr>
            </w:pPr>
          </w:p>
        </w:tc>
        <w:tc>
          <w:tcPr>
            <w:tcW w:w="983" w:type="dxa"/>
            <w:shd w:val="clear" w:color="auto" w:fill="auto"/>
            <w:noWrap/>
            <w:vAlign w:val="center"/>
            <w:hideMark/>
          </w:tcPr>
          <w:p w:rsidR="002D53C6" w:rsidRPr="002D53C6" w:rsidRDefault="002D53C6" w:rsidP="0017323E">
            <w:pPr>
              <w:spacing w:after="0" w:line="240" w:lineRule="auto"/>
              <w:jc w:val="center"/>
              <w:rPr>
                <w:rFonts w:ascii="Calibri" w:eastAsia="Times New Roman" w:hAnsi="Calibri" w:cs="Times New Roman"/>
                <w:b/>
                <w:color w:val="000000"/>
              </w:rPr>
            </w:pPr>
            <w:r w:rsidRPr="002D53C6">
              <w:rPr>
                <w:rFonts w:ascii="Calibri" w:eastAsia="Times New Roman" w:hAnsi="Calibri" w:cs="Times New Roman"/>
                <w:b/>
                <w:color w:val="000000"/>
              </w:rPr>
              <w:t>Kisumu diesel (</w:t>
            </w:r>
            <w:proofErr w:type="spellStart"/>
            <w:r w:rsidRPr="002D53C6">
              <w:rPr>
                <w:rFonts w:ascii="Calibri" w:eastAsia="Times New Roman" w:hAnsi="Calibri" w:cs="Times New Roman"/>
                <w:b/>
                <w:color w:val="000000"/>
              </w:rPr>
              <w:t>Ksh</w:t>
            </w:r>
            <w:proofErr w:type="spellEnd"/>
            <w:r w:rsidRPr="002D53C6">
              <w:rPr>
                <w:rFonts w:ascii="Calibri" w:eastAsia="Times New Roman" w:hAnsi="Calibri" w:cs="Times New Roman"/>
                <w:b/>
                <w:color w:val="000000"/>
              </w:rPr>
              <w:t>/l)</w:t>
            </w:r>
          </w:p>
        </w:tc>
        <w:tc>
          <w:tcPr>
            <w:tcW w:w="1316" w:type="dxa"/>
            <w:shd w:val="clear" w:color="auto" w:fill="auto"/>
            <w:noWrap/>
            <w:vAlign w:val="center"/>
            <w:hideMark/>
          </w:tcPr>
          <w:p w:rsidR="002D53C6" w:rsidRPr="00F84BE8" w:rsidRDefault="002D53C6" w:rsidP="00F84BE8">
            <w:pPr>
              <w:spacing w:after="0" w:line="240" w:lineRule="auto"/>
              <w:jc w:val="center"/>
              <w:rPr>
                <w:rFonts w:ascii="Calibri" w:eastAsia="Times New Roman" w:hAnsi="Calibri" w:cs="Times New Roman"/>
                <w:b/>
                <w:color w:val="000000"/>
                <w:lang w:val="fr-FR"/>
              </w:rPr>
            </w:pPr>
            <w:r w:rsidRPr="00F84BE8">
              <w:rPr>
                <w:rFonts w:ascii="Calibri" w:eastAsia="Times New Roman" w:hAnsi="Calibri" w:cs="Times New Roman"/>
                <w:b/>
                <w:color w:val="000000"/>
                <w:lang w:val="fr-FR"/>
              </w:rPr>
              <w:t>Kisumu, Ma</w:t>
            </w:r>
            <w:r w:rsidR="00F84BE8" w:rsidRPr="00F84BE8">
              <w:rPr>
                <w:rFonts w:ascii="Calibri" w:eastAsia="Times New Roman" w:hAnsi="Calibri" w:cs="Calibri"/>
                <w:b/>
                <w:color w:val="000000"/>
                <w:lang w:val="fr-FR"/>
              </w:rPr>
              <w:t>ï</w:t>
            </w:r>
            <w:r w:rsidR="00F84BE8" w:rsidRPr="00F84BE8">
              <w:rPr>
                <w:rFonts w:ascii="Calibri" w:eastAsia="Times New Roman" w:hAnsi="Calibri" w:cs="Times New Roman"/>
                <w:b/>
                <w:color w:val="000000"/>
                <w:lang w:val="fr-FR"/>
              </w:rPr>
              <w:t>s</w:t>
            </w:r>
            <w:r w:rsidRPr="00F84BE8">
              <w:rPr>
                <w:rFonts w:ascii="Calibri" w:eastAsia="Times New Roman" w:hAnsi="Calibri" w:cs="Times New Roman"/>
                <w:b/>
                <w:color w:val="000000"/>
                <w:lang w:val="fr-FR"/>
              </w:rPr>
              <w:t xml:space="preserve">, </w:t>
            </w:r>
            <w:r w:rsidR="00F84BE8" w:rsidRPr="00F84BE8">
              <w:rPr>
                <w:rFonts w:ascii="Calibri" w:eastAsia="Times New Roman" w:hAnsi="Calibri" w:cs="Times New Roman"/>
                <w:b/>
                <w:color w:val="000000"/>
                <w:lang w:val="fr-FR"/>
              </w:rPr>
              <w:t>Vente en gros</w:t>
            </w:r>
            <w:r w:rsidR="00F463EA">
              <w:rPr>
                <w:rStyle w:val="Appelnotedebasdep"/>
                <w:rFonts w:ascii="Calibri" w:eastAsia="Times New Roman" w:hAnsi="Calibri" w:cs="Times New Roman"/>
                <w:b/>
                <w:color w:val="000000"/>
              </w:rPr>
              <w:footnoteReference w:id="2"/>
            </w:r>
            <w:r w:rsidRPr="00F84BE8">
              <w:rPr>
                <w:rFonts w:ascii="Calibri" w:eastAsia="Times New Roman" w:hAnsi="Calibri" w:cs="Times New Roman"/>
                <w:b/>
                <w:color w:val="000000"/>
                <w:lang w:val="fr-FR"/>
              </w:rPr>
              <w:t>, (</w:t>
            </w:r>
            <w:proofErr w:type="spellStart"/>
            <w:r w:rsidRPr="00F84BE8">
              <w:rPr>
                <w:rFonts w:ascii="Calibri" w:eastAsia="Times New Roman" w:hAnsi="Calibri" w:cs="Times New Roman"/>
                <w:b/>
                <w:color w:val="000000"/>
                <w:lang w:val="fr-FR"/>
              </w:rPr>
              <w:t>Ksh</w:t>
            </w:r>
            <w:proofErr w:type="spellEnd"/>
            <w:r w:rsidRPr="00F84BE8">
              <w:rPr>
                <w:rFonts w:ascii="Calibri" w:eastAsia="Times New Roman" w:hAnsi="Calibri" w:cs="Times New Roman"/>
                <w:b/>
                <w:color w:val="000000"/>
                <w:lang w:val="fr-FR"/>
              </w:rPr>
              <w:t>/tonne)</w:t>
            </w:r>
          </w:p>
        </w:tc>
      </w:tr>
      <w:tr w:rsidR="002D53C6" w:rsidRPr="002D53C6" w:rsidTr="00F84BE8">
        <w:tblPrEx>
          <w:tblCellMar>
            <w:left w:w="108" w:type="dxa"/>
            <w:right w:w="108" w:type="dxa"/>
          </w:tblCellMar>
        </w:tblPrEx>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Ju</w:t>
            </w:r>
            <w:r w:rsidR="00F84BE8">
              <w:rPr>
                <w:rFonts w:ascii="Calibri" w:eastAsia="Times New Roman" w:hAnsi="Calibri" w:cs="Times New Roman"/>
                <w:color w:val="000000"/>
              </w:rPr>
              <w:t>i</w:t>
            </w:r>
            <w:r w:rsidRPr="002D53C6">
              <w:rPr>
                <w:rFonts w:ascii="Calibri" w:eastAsia="Times New Roman" w:hAnsi="Calibri" w:cs="Times New Roman"/>
                <w:color w:val="000000"/>
              </w:rPr>
              <w:t>l-14</w:t>
            </w:r>
          </w:p>
        </w:tc>
        <w:tc>
          <w:tcPr>
            <w:tcW w:w="983"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106</w:t>
            </w:r>
            <w:r w:rsidR="00F84BE8">
              <w:rPr>
                <w:rFonts w:ascii="Calibri" w:eastAsia="Times New Roman" w:hAnsi="Calibri" w:cs="Times New Roman"/>
                <w:color w:val="000000"/>
              </w:rPr>
              <w:t>,</w:t>
            </w:r>
            <w:r w:rsidRPr="002D53C6">
              <w:rPr>
                <w:rFonts w:ascii="Calibri" w:eastAsia="Times New Roman" w:hAnsi="Calibri" w:cs="Times New Roman"/>
                <w:color w:val="000000"/>
              </w:rPr>
              <w:t>87</w:t>
            </w:r>
          </w:p>
        </w:tc>
        <w:tc>
          <w:tcPr>
            <w:tcW w:w="1316"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39688</w:t>
            </w:r>
          </w:p>
        </w:tc>
      </w:tr>
      <w:tr w:rsidR="002D53C6" w:rsidRPr="002D53C6" w:rsidTr="00F84BE8">
        <w:tblPrEx>
          <w:tblCellMar>
            <w:left w:w="108" w:type="dxa"/>
            <w:right w:w="108" w:type="dxa"/>
          </w:tblCellMar>
        </w:tblPrEx>
        <w:trPr>
          <w:trHeight w:val="300"/>
        </w:trPr>
        <w:tc>
          <w:tcPr>
            <w:tcW w:w="940" w:type="dxa"/>
            <w:shd w:val="clear" w:color="auto" w:fill="auto"/>
            <w:noWrap/>
            <w:vAlign w:val="bottom"/>
            <w:hideMark/>
          </w:tcPr>
          <w:p w:rsidR="002D53C6" w:rsidRPr="002D53C6" w:rsidRDefault="00F84BE8" w:rsidP="00F84BE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Aout</w:t>
            </w:r>
            <w:r w:rsidR="002D53C6" w:rsidRPr="002D53C6">
              <w:rPr>
                <w:rFonts w:ascii="Calibri" w:eastAsia="Times New Roman" w:hAnsi="Calibri" w:cs="Times New Roman"/>
                <w:color w:val="000000"/>
              </w:rPr>
              <w:t>-14</w:t>
            </w:r>
          </w:p>
        </w:tc>
        <w:tc>
          <w:tcPr>
            <w:tcW w:w="983"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106</w:t>
            </w:r>
            <w:r w:rsidR="00F84BE8">
              <w:rPr>
                <w:rFonts w:ascii="Calibri" w:eastAsia="Times New Roman" w:hAnsi="Calibri" w:cs="Times New Roman"/>
                <w:color w:val="000000"/>
              </w:rPr>
              <w:t>,</w:t>
            </w:r>
            <w:r w:rsidRPr="002D53C6">
              <w:rPr>
                <w:rFonts w:ascii="Calibri" w:eastAsia="Times New Roman" w:hAnsi="Calibri" w:cs="Times New Roman"/>
                <w:color w:val="000000"/>
              </w:rPr>
              <w:t>73</w:t>
            </w:r>
          </w:p>
        </w:tc>
        <w:tc>
          <w:tcPr>
            <w:tcW w:w="1316"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37926</w:t>
            </w:r>
          </w:p>
        </w:tc>
      </w:tr>
      <w:tr w:rsidR="002D53C6" w:rsidRPr="002D53C6" w:rsidTr="00F84BE8">
        <w:tblPrEx>
          <w:tblCellMar>
            <w:left w:w="108" w:type="dxa"/>
            <w:right w:w="108" w:type="dxa"/>
          </w:tblCellMar>
        </w:tblPrEx>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Sep-14</w:t>
            </w:r>
          </w:p>
        </w:tc>
        <w:tc>
          <w:tcPr>
            <w:tcW w:w="983"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105</w:t>
            </w:r>
            <w:r w:rsidR="00F84BE8">
              <w:rPr>
                <w:rFonts w:ascii="Calibri" w:eastAsia="Times New Roman" w:hAnsi="Calibri" w:cs="Times New Roman"/>
                <w:color w:val="000000"/>
              </w:rPr>
              <w:t>,</w:t>
            </w:r>
            <w:r w:rsidRPr="002D53C6">
              <w:rPr>
                <w:rFonts w:ascii="Calibri" w:eastAsia="Times New Roman" w:hAnsi="Calibri" w:cs="Times New Roman"/>
                <w:color w:val="000000"/>
              </w:rPr>
              <w:t>05</w:t>
            </w:r>
          </w:p>
        </w:tc>
        <w:tc>
          <w:tcPr>
            <w:tcW w:w="1316"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39917</w:t>
            </w:r>
          </w:p>
        </w:tc>
      </w:tr>
      <w:tr w:rsidR="002D53C6" w:rsidRPr="002D53C6" w:rsidTr="00F84BE8">
        <w:tblPrEx>
          <w:tblCellMar>
            <w:left w:w="108" w:type="dxa"/>
            <w:right w:w="108" w:type="dxa"/>
          </w:tblCellMar>
        </w:tblPrEx>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Oct-14</w:t>
            </w:r>
          </w:p>
        </w:tc>
        <w:tc>
          <w:tcPr>
            <w:tcW w:w="983"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104</w:t>
            </w:r>
            <w:r w:rsidR="00F84BE8">
              <w:rPr>
                <w:rFonts w:ascii="Calibri" w:eastAsia="Times New Roman" w:hAnsi="Calibri" w:cs="Times New Roman"/>
                <w:color w:val="000000"/>
              </w:rPr>
              <w:t>,</w:t>
            </w:r>
            <w:r w:rsidRPr="002D53C6">
              <w:rPr>
                <w:rFonts w:ascii="Calibri" w:eastAsia="Times New Roman" w:hAnsi="Calibri" w:cs="Times New Roman"/>
                <w:color w:val="000000"/>
              </w:rPr>
              <w:t>43</w:t>
            </w:r>
          </w:p>
        </w:tc>
        <w:tc>
          <w:tcPr>
            <w:tcW w:w="1316"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38125</w:t>
            </w:r>
          </w:p>
        </w:tc>
      </w:tr>
      <w:tr w:rsidR="002D53C6" w:rsidRPr="002D53C6" w:rsidTr="00F84BE8">
        <w:tblPrEx>
          <w:tblCellMar>
            <w:left w:w="108" w:type="dxa"/>
            <w:right w:w="108" w:type="dxa"/>
          </w:tblCellMar>
        </w:tblPrEx>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Nov-14</w:t>
            </w:r>
          </w:p>
        </w:tc>
        <w:tc>
          <w:tcPr>
            <w:tcW w:w="983"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102</w:t>
            </w:r>
            <w:r w:rsidR="00F84BE8">
              <w:rPr>
                <w:rFonts w:ascii="Calibri" w:eastAsia="Times New Roman" w:hAnsi="Calibri" w:cs="Times New Roman"/>
                <w:color w:val="000000"/>
              </w:rPr>
              <w:t>,</w:t>
            </w:r>
            <w:r w:rsidRPr="002D53C6">
              <w:rPr>
                <w:rFonts w:ascii="Calibri" w:eastAsia="Times New Roman" w:hAnsi="Calibri" w:cs="Times New Roman"/>
                <w:color w:val="000000"/>
              </w:rPr>
              <w:t>74</w:t>
            </w:r>
          </w:p>
        </w:tc>
        <w:tc>
          <w:tcPr>
            <w:tcW w:w="1316"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32642</w:t>
            </w:r>
          </w:p>
        </w:tc>
      </w:tr>
      <w:tr w:rsidR="002D53C6" w:rsidRPr="002D53C6" w:rsidTr="00F84BE8">
        <w:tblPrEx>
          <w:tblCellMar>
            <w:left w:w="108" w:type="dxa"/>
            <w:right w:w="108" w:type="dxa"/>
          </w:tblCellMar>
        </w:tblPrEx>
        <w:trPr>
          <w:trHeight w:val="300"/>
        </w:trPr>
        <w:tc>
          <w:tcPr>
            <w:tcW w:w="940"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D</w:t>
            </w:r>
            <w:r w:rsidR="00F84BE8">
              <w:rPr>
                <w:rFonts w:ascii="Calibri" w:eastAsia="Times New Roman" w:hAnsi="Calibri" w:cs="Times New Roman"/>
                <w:color w:val="000000"/>
              </w:rPr>
              <w:t>é</w:t>
            </w:r>
            <w:r w:rsidRPr="002D53C6">
              <w:rPr>
                <w:rFonts w:ascii="Calibri" w:eastAsia="Times New Roman" w:hAnsi="Calibri" w:cs="Times New Roman"/>
                <w:color w:val="000000"/>
              </w:rPr>
              <w:t>c-14</w:t>
            </w:r>
          </w:p>
        </w:tc>
        <w:tc>
          <w:tcPr>
            <w:tcW w:w="983"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96</w:t>
            </w:r>
            <w:r w:rsidR="00F84BE8">
              <w:rPr>
                <w:rFonts w:ascii="Calibri" w:eastAsia="Times New Roman" w:hAnsi="Calibri" w:cs="Times New Roman"/>
                <w:color w:val="000000"/>
              </w:rPr>
              <w:t>,</w:t>
            </w:r>
            <w:r w:rsidRPr="002D53C6">
              <w:rPr>
                <w:rFonts w:ascii="Calibri" w:eastAsia="Times New Roman" w:hAnsi="Calibri" w:cs="Times New Roman"/>
                <w:color w:val="000000"/>
              </w:rPr>
              <w:t>61</w:t>
            </w:r>
          </w:p>
        </w:tc>
        <w:tc>
          <w:tcPr>
            <w:tcW w:w="1316"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28016</w:t>
            </w:r>
          </w:p>
        </w:tc>
      </w:tr>
      <w:tr w:rsidR="002D53C6" w:rsidRPr="002D53C6" w:rsidTr="00F84BE8">
        <w:tblPrEx>
          <w:tblCellMar>
            <w:left w:w="108" w:type="dxa"/>
            <w:right w:w="108" w:type="dxa"/>
          </w:tblCellMar>
        </w:tblPrEx>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Jan-15</w:t>
            </w:r>
          </w:p>
        </w:tc>
        <w:tc>
          <w:tcPr>
            <w:tcW w:w="983"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92</w:t>
            </w:r>
            <w:r w:rsidR="00F84BE8">
              <w:rPr>
                <w:rFonts w:ascii="Calibri" w:eastAsia="Times New Roman" w:hAnsi="Calibri" w:cs="Times New Roman"/>
                <w:color w:val="000000"/>
              </w:rPr>
              <w:t>,</w:t>
            </w:r>
            <w:r w:rsidRPr="002D53C6">
              <w:rPr>
                <w:rFonts w:ascii="Calibri" w:eastAsia="Times New Roman" w:hAnsi="Calibri" w:cs="Times New Roman"/>
                <w:color w:val="000000"/>
              </w:rPr>
              <w:t>95</w:t>
            </w:r>
          </w:p>
        </w:tc>
        <w:tc>
          <w:tcPr>
            <w:tcW w:w="1316"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30274</w:t>
            </w:r>
          </w:p>
        </w:tc>
      </w:tr>
      <w:tr w:rsidR="002D53C6" w:rsidRPr="002D53C6" w:rsidTr="00F84BE8">
        <w:tblPrEx>
          <w:tblCellMar>
            <w:left w:w="108" w:type="dxa"/>
            <w:right w:w="108" w:type="dxa"/>
          </w:tblCellMar>
        </w:tblPrEx>
        <w:trPr>
          <w:trHeight w:val="300"/>
        </w:trPr>
        <w:tc>
          <w:tcPr>
            <w:tcW w:w="940"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Fe</w:t>
            </w:r>
            <w:r w:rsidR="00F84BE8">
              <w:rPr>
                <w:rFonts w:ascii="Calibri" w:eastAsia="Times New Roman" w:hAnsi="Calibri" w:cs="Times New Roman"/>
                <w:color w:val="000000"/>
              </w:rPr>
              <w:t>v</w:t>
            </w:r>
            <w:r w:rsidRPr="002D53C6">
              <w:rPr>
                <w:rFonts w:ascii="Calibri" w:eastAsia="Times New Roman" w:hAnsi="Calibri" w:cs="Times New Roman"/>
                <w:color w:val="000000"/>
              </w:rPr>
              <w:t>-15</w:t>
            </w:r>
          </w:p>
        </w:tc>
        <w:tc>
          <w:tcPr>
            <w:tcW w:w="983" w:type="dxa"/>
            <w:shd w:val="clear" w:color="auto" w:fill="auto"/>
            <w:noWrap/>
            <w:vAlign w:val="bottom"/>
            <w:hideMark/>
          </w:tcPr>
          <w:p w:rsidR="002D53C6" w:rsidRPr="002D53C6" w:rsidRDefault="002D53C6" w:rsidP="00F84BE8">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85</w:t>
            </w:r>
            <w:r w:rsidR="00F84BE8">
              <w:rPr>
                <w:rFonts w:ascii="Calibri" w:eastAsia="Times New Roman" w:hAnsi="Calibri" w:cs="Times New Roman"/>
                <w:color w:val="000000"/>
              </w:rPr>
              <w:t>,</w:t>
            </w:r>
            <w:r w:rsidRPr="002D53C6">
              <w:rPr>
                <w:rFonts w:ascii="Calibri" w:eastAsia="Times New Roman" w:hAnsi="Calibri" w:cs="Times New Roman"/>
                <w:color w:val="000000"/>
              </w:rPr>
              <w:t>48</w:t>
            </w:r>
          </w:p>
        </w:tc>
        <w:tc>
          <w:tcPr>
            <w:tcW w:w="1316"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p>
        </w:tc>
      </w:tr>
    </w:tbl>
    <w:p w:rsidR="002D53C6" w:rsidRDefault="002D53C6" w:rsidP="0044789A">
      <w:pPr>
        <w:spacing w:line="240" w:lineRule="auto"/>
        <w:rPr>
          <w:b/>
        </w:rPr>
      </w:pPr>
    </w:p>
    <w:p w:rsidR="00BE0E0D" w:rsidRDefault="00BE0E0D" w:rsidP="0044789A">
      <w:pPr>
        <w:spacing w:line="240" w:lineRule="auto"/>
        <w:rPr>
          <w:b/>
        </w:rPr>
      </w:pPr>
    </w:p>
    <w:p w:rsidR="00C35B12" w:rsidRPr="00F84BE8" w:rsidRDefault="00C35B12" w:rsidP="00C35B12">
      <w:pPr>
        <w:rPr>
          <w:lang w:val="fr-FR"/>
        </w:rPr>
      </w:pPr>
      <w:r w:rsidRPr="00F84BE8">
        <w:rPr>
          <w:b/>
          <w:lang w:val="fr-FR"/>
        </w:rPr>
        <w:t>Interpr</w:t>
      </w:r>
      <w:r w:rsidR="00F84BE8">
        <w:rPr>
          <w:b/>
          <w:lang w:val="fr-FR"/>
        </w:rPr>
        <w:t>é</w:t>
      </w:r>
      <w:r w:rsidRPr="00F84BE8">
        <w:rPr>
          <w:b/>
          <w:lang w:val="fr-FR"/>
        </w:rPr>
        <w:t xml:space="preserve">tation: </w:t>
      </w:r>
      <w:r w:rsidR="00F84BE8" w:rsidRPr="00F84BE8">
        <w:rPr>
          <w:lang w:val="fr-FR"/>
        </w:rPr>
        <w:t xml:space="preserve">Bien que les prix </w:t>
      </w:r>
      <w:r w:rsidR="00F84BE8">
        <w:rPr>
          <w:lang w:val="fr-FR"/>
        </w:rPr>
        <w:t xml:space="preserve">à la fois </w:t>
      </w:r>
      <w:r w:rsidR="00F84BE8" w:rsidRPr="00F84BE8">
        <w:rPr>
          <w:lang w:val="fr-FR"/>
        </w:rPr>
        <w:t>du maïs et du carburant aient chuté ces derniers mois, la baisse des prix du maïs semble avoir commencé avant la chute du prix du diesel. La baisse des prix du carburant peut avoir contribué à de nouvelles baisses des prix du maïs, mais d'autres facteurs doivent être étudiés</w:t>
      </w:r>
      <w:r w:rsidR="00F84BE8">
        <w:rPr>
          <w:lang w:val="fr-FR"/>
        </w:rPr>
        <w:t xml:space="preserve"> aussi</w:t>
      </w:r>
      <w:r w:rsidR="002D53C6" w:rsidRPr="00F84BE8">
        <w:rPr>
          <w:lang w:val="fr-FR"/>
        </w:rPr>
        <w:t>.</w:t>
      </w:r>
      <w:r w:rsidR="004A22CA" w:rsidRPr="004A22CA">
        <w:rPr>
          <w:noProof/>
          <w:lang w:val="fr-FR" w:eastAsia="es-ES"/>
        </w:rPr>
        <w:t xml:space="preserve"> </w:t>
      </w:r>
    </w:p>
    <w:sectPr w:rsidR="00C35B12" w:rsidRPr="00F84BE8" w:rsidSect="003F35EA">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E8" w:rsidRDefault="00D455E8" w:rsidP="00193478">
      <w:pPr>
        <w:spacing w:after="0" w:line="240" w:lineRule="auto"/>
      </w:pPr>
      <w:r>
        <w:separator/>
      </w:r>
    </w:p>
  </w:endnote>
  <w:endnote w:type="continuationSeparator" w:id="0">
    <w:p w:rsidR="00D455E8" w:rsidRDefault="00D455E8" w:rsidP="0019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E8" w:rsidRDefault="00D455E8" w:rsidP="00193478">
      <w:pPr>
        <w:spacing w:after="0" w:line="240" w:lineRule="auto"/>
      </w:pPr>
      <w:r>
        <w:separator/>
      </w:r>
    </w:p>
  </w:footnote>
  <w:footnote w:type="continuationSeparator" w:id="0">
    <w:p w:rsidR="00D455E8" w:rsidRDefault="00D455E8" w:rsidP="00193478">
      <w:pPr>
        <w:spacing w:after="0" w:line="240" w:lineRule="auto"/>
      </w:pPr>
      <w:r>
        <w:continuationSeparator/>
      </w:r>
    </w:p>
  </w:footnote>
  <w:footnote w:id="1">
    <w:p w:rsidR="00E708CD" w:rsidRPr="00F463EA" w:rsidRDefault="00E708CD">
      <w:pPr>
        <w:pStyle w:val="Notedebasdepage"/>
        <w:rPr>
          <w:lang w:val="fr-FR"/>
        </w:rPr>
      </w:pPr>
      <w:r>
        <w:rPr>
          <w:rStyle w:val="Appelnotedebasdep"/>
        </w:rPr>
        <w:footnoteRef/>
      </w:r>
      <w:r w:rsidRPr="00F463EA">
        <w:rPr>
          <w:lang w:val="fr-FR"/>
        </w:rPr>
        <w:t xml:space="preserve"> </w:t>
      </w:r>
      <w:r w:rsidR="00F463EA" w:rsidRPr="00F463EA">
        <w:rPr>
          <w:lang w:val="fr-FR"/>
        </w:rPr>
        <w:t>Données sur les prix de carburant peuvent provenir du bureau de votre pays des statistiques, organisme de réglementation de l'énergie, etc. S´ils ne sont pas disponibles sous forme de données secondaires, vous trouverez peut-être nécessaire de les suivre dans le cadre des données principale de votre programme</w:t>
      </w:r>
      <w:r w:rsidRPr="00F463EA">
        <w:rPr>
          <w:lang w:val="fr-FR"/>
        </w:rPr>
        <w:t>.</w:t>
      </w:r>
    </w:p>
  </w:footnote>
  <w:footnote w:id="2">
    <w:p w:rsidR="00F463EA" w:rsidRPr="00F463EA" w:rsidRDefault="00F463EA" w:rsidP="00F463EA">
      <w:pPr>
        <w:pStyle w:val="Notedebasdepage"/>
        <w:rPr>
          <w:lang w:val="fr-FR"/>
        </w:rPr>
      </w:pPr>
      <w:r>
        <w:rPr>
          <w:rStyle w:val="Appelnotedebasdep"/>
        </w:rPr>
        <w:footnoteRef/>
      </w:r>
      <w:r w:rsidRPr="00F463EA">
        <w:rPr>
          <w:lang w:val="fr-FR"/>
        </w:rPr>
        <w:t xml:space="preserve"> Cet exemple utilise les prix de gros, mais vos données seront les prix de détail.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EA" w:rsidRPr="00F463EA" w:rsidRDefault="00F463EA" w:rsidP="003F35EA">
    <w:pPr>
      <w:pStyle w:val="En-tte"/>
      <w:spacing w:after="240"/>
      <w:rPr>
        <w:color w:val="808080" w:themeColor="background1" w:themeShade="80"/>
        <w:lang w:val="fr-FR"/>
      </w:rPr>
    </w:pPr>
    <w:r w:rsidRPr="00AD3D77">
      <w:rPr>
        <w:rStyle w:val="hps"/>
        <w:color w:val="808080" w:themeColor="background1" w:themeShade="80"/>
        <w:lang w:val="fr-FR"/>
      </w:rPr>
      <w:t>Pour une utilisation avec</w:t>
    </w:r>
    <w:r w:rsidRPr="00AD3D77">
      <w:rPr>
        <w:color w:val="808080" w:themeColor="background1" w:themeShade="80"/>
        <w:lang w:val="fr-FR"/>
      </w:rPr>
      <w:t xml:space="preserve"> la </w:t>
    </w:r>
    <w:r w:rsidRPr="00AD3D77">
      <w:rPr>
        <w:rStyle w:val="hps"/>
        <w:color w:val="808080" w:themeColor="background1" w:themeShade="80"/>
        <w:lang w:val="fr-FR"/>
      </w:rPr>
      <w:t xml:space="preserve">section </w:t>
    </w:r>
    <w:r w:rsidRPr="00F463EA">
      <w:rPr>
        <w:color w:val="808080" w:themeColor="background1" w:themeShade="80"/>
        <w:lang w:val="fr-FR"/>
      </w:rPr>
      <w:t xml:space="preserve">5.10 </w:t>
    </w:r>
    <w:r>
      <w:rPr>
        <w:rStyle w:val="hps"/>
        <w:color w:val="808080" w:themeColor="background1" w:themeShade="80"/>
        <w:lang w:val="fr-FR"/>
      </w:rPr>
      <w:t>Prix du carburant</w:t>
    </w:r>
    <w:r w:rsidRPr="00AD3D77">
      <w:rPr>
        <w:rStyle w:val="hps"/>
        <w:color w:val="808080" w:themeColor="background1" w:themeShade="80"/>
        <w:lang w:val="fr-FR"/>
      </w:rPr>
      <w:t xml:space="preserve"> du manuel</w:t>
    </w:r>
    <w:r w:rsidRPr="00AD3D77">
      <w:rPr>
        <w:color w:val="808080" w:themeColor="background1" w:themeShade="80"/>
        <w:lang w:val="fr-FR"/>
      </w:rPr>
      <w:t xml:space="preserve"> </w:t>
    </w:r>
    <w:r w:rsidRPr="00AD3D77">
      <w:rPr>
        <w:rStyle w:val="hps"/>
        <w:color w:val="808080" w:themeColor="background1" w:themeShade="80"/>
        <w:lang w:val="fr-FR"/>
      </w:rPr>
      <w:t>M</w:t>
    </w:r>
    <w:r>
      <w:rPr>
        <w:rStyle w:val="hps"/>
        <w:color w:val="808080" w:themeColor="background1" w:themeShade="80"/>
        <w:lang w:val="fr-FR"/>
      </w:rPr>
      <w:t>ARK</w:t>
    </w:r>
    <w:r w:rsidRPr="00AD3D77">
      <w:rPr>
        <w:rStyle w:val="hps"/>
        <w:color w:val="808080" w:themeColor="background1" w:themeShade="80"/>
        <w:lang w:val="fr-FR"/>
      </w:rPr>
      <w:t>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A73"/>
    <w:multiLevelType w:val="hybridMultilevel"/>
    <w:tmpl w:val="66C4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45581"/>
    <w:multiLevelType w:val="hybridMultilevel"/>
    <w:tmpl w:val="CCF0A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78"/>
    <w:rsid w:val="00052BF9"/>
    <w:rsid w:val="000C6A1E"/>
    <w:rsid w:val="0017323E"/>
    <w:rsid w:val="00193478"/>
    <w:rsid w:val="00271801"/>
    <w:rsid w:val="00292E12"/>
    <w:rsid w:val="002A39E3"/>
    <w:rsid w:val="002D53C6"/>
    <w:rsid w:val="003F35EA"/>
    <w:rsid w:val="0044789A"/>
    <w:rsid w:val="00460B75"/>
    <w:rsid w:val="004A22CA"/>
    <w:rsid w:val="005944B1"/>
    <w:rsid w:val="00984619"/>
    <w:rsid w:val="009B5341"/>
    <w:rsid w:val="009D73DC"/>
    <w:rsid w:val="00A07407"/>
    <w:rsid w:val="00AD7A33"/>
    <w:rsid w:val="00BE0E0D"/>
    <w:rsid w:val="00C35B12"/>
    <w:rsid w:val="00C42463"/>
    <w:rsid w:val="00C514C3"/>
    <w:rsid w:val="00D00A57"/>
    <w:rsid w:val="00D01F7E"/>
    <w:rsid w:val="00D02058"/>
    <w:rsid w:val="00D455E8"/>
    <w:rsid w:val="00E15919"/>
    <w:rsid w:val="00E708CD"/>
    <w:rsid w:val="00F463EA"/>
    <w:rsid w:val="00F46ADF"/>
    <w:rsid w:val="00F547BF"/>
    <w:rsid w:val="00F8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193478"/>
    <w:pPr>
      <w:keepNext/>
      <w:keepLines/>
      <w:spacing w:before="200" w:after="0" w:line="240" w:lineRule="auto"/>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93478"/>
    <w:rPr>
      <w:rFonts w:eastAsiaTheme="majorEastAsia" w:cstheme="majorBidi"/>
      <w:b/>
      <w:bCs/>
      <w:color w:val="000000" w:themeColor="text1"/>
    </w:rPr>
  </w:style>
  <w:style w:type="paragraph" w:styleId="Paragraphedeliste">
    <w:name w:val="List Paragraph"/>
    <w:basedOn w:val="Normal"/>
    <w:uiPriority w:val="34"/>
    <w:qFormat/>
    <w:rsid w:val="00193478"/>
    <w:pPr>
      <w:spacing w:after="200" w:line="276" w:lineRule="auto"/>
      <w:ind w:left="720"/>
      <w:contextualSpacing/>
    </w:pPr>
  </w:style>
  <w:style w:type="character" w:styleId="Lienhypertexte">
    <w:name w:val="Hyperlink"/>
    <w:basedOn w:val="Policepardfaut"/>
    <w:uiPriority w:val="99"/>
    <w:unhideWhenUsed/>
    <w:rsid w:val="00193478"/>
    <w:rPr>
      <w:color w:val="0563C1" w:themeColor="hyperlink"/>
      <w:u w:val="single"/>
    </w:rPr>
  </w:style>
  <w:style w:type="paragraph" w:styleId="Notedebasdepage">
    <w:name w:val="footnote text"/>
    <w:basedOn w:val="Normal"/>
    <w:link w:val="NotedebasdepageCar"/>
    <w:uiPriority w:val="99"/>
    <w:semiHidden/>
    <w:unhideWhenUsed/>
    <w:rsid w:val="001934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3478"/>
    <w:rPr>
      <w:sz w:val="20"/>
      <w:szCs w:val="20"/>
    </w:rPr>
  </w:style>
  <w:style w:type="character" w:styleId="Appelnotedebasdep">
    <w:name w:val="footnote reference"/>
    <w:basedOn w:val="Policepardfaut"/>
    <w:uiPriority w:val="99"/>
    <w:semiHidden/>
    <w:unhideWhenUsed/>
    <w:rsid w:val="00193478"/>
    <w:rPr>
      <w:vertAlign w:val="superscript"/>
    </w:rPr>
  </w:style>
  <w:style w:type="paragraph" w:styleId="En-tte">
    <w:name w:val="header"/>
    <w:basedOn w:val="Normal"/>
    <w:link w:val="En-tteCar"/>
    <w:uiPriority w:val="99"/>
    <w:unhideWhenUsed/>
    <w:rsid w:val="003F35EA"/>
    <w:pPr>
      <w:tabs>
        <w:tab w:val="center" w:pos="4680"/>
        <w:tab w:val="right" w:pos="9360"/>
      </w:tabs>
      <w:spacing w:after="0" w:line="240" w:lineRule="auto"/>
    </w:pPr>
  </w:style>
  <w:style w:type="character" w:customStyle="1" w:styleId="En-tteCar">
    <w:name w:val="En-tête Car"/>
    <w:basedOn w:val="Policepardfaut"/>
    <w:link w:val="En-tte"/>
    <w:uiPriority w:val="99"/>
    <w:rsid w:val="003F35EA"/>
  </w:style>
  <w:style w:type="paragraph" w:styleId="Pieddepage">
    <w:name w:val="footer"/>
    <w:basedOn w:val="Normal"/>
    <w:link w:val="PieddepageCar"/>
    <w:uiPriority w:val="99"/>
    <w:unhideWhenUsed/>
    <w:rsid w:val="003F35E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F35EA"/>
  </w:style>
  <w:style w:type="paragraph" w:styleId="Textedebulles">
    <w:name w:val="Balloon Text"/>
    <w:basedOn w:val="Normal"/>
    <w:link w:val="TextedebullesCar"/>
    <w:uiPriority w:val="99"/>
    <w:semiHidden/>
    <w:unhideWhenUsed/>
    <w:rsid w:val="00292E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2E12"/>
    <w:rPr>
      <w:rFonts w:ascii="Tahoma" w:hAnsi="Tahoma" w:cs="Tahoma"/>
      <w:sz w:val="16"/>
      <w:szCs w:val="16"/>
    </w:rPr>
  </w:style>
  <w:style w:type="paragraph" w:styleId="Lgende">
    <w:name w:val="caption"/>
    <w:basedOn w:val="Normal"/>
    <w:next w:val="Normal"/>
    <w:uiPriority w:val="35"/>
    <w:unhideWhenUsed/>
    <w:qFormat/>
    <w:rsid w:val="004A22CA"/>
    <w:pPr>
      <w:spacing w:after="200" w:line="240" w:lineRule="auto"/>
    </w:pPr>
    <w:rPr>
      <w:b/>
      <w:bCs/>
      <w:color w:val="5B9BD5" w:themeColor="accent1"/>
      <w:sz w:val="18"/>
      <w:szCs w:val="18"/>
    </w:rPr>
  </w:style>
  <w:style w:type="character" w:customStyle="1" w:styleId="hps">
    <w:name w:val="hps"/>
    <w:basedOn w:val="Policepardfaut"/>
    <w:rsid w:val="00F46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193478"/>
    <w:pPr>
      <w:keepNext/>
      <w:keepLines/>
      <w:spacing w:before="200" w:after="0" w:line="240" w:lineRule="auto"/>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93478"/>
    <w:rPr>
      <w:rFonts w:eastAsiaTheme="majorEastAsia" w:cstheme="majorBidi"/>
      <w:b/>
      <w:bCs/>
      <w:color w:val="000000" w:themeColor="text1"/>
    </w:rPr>
  </w:style>
  <w:style w:type="paragraph" w:styleId="Paragraphedeliste">
    <w:name w:val="List Paragraph"/>
    <w:basedOn w:val="Normal"/>
    <w:uiPriority w:val="34"/>
    <w:qFormat/>
    <w:rsid w:val="00193478"/>
    <w:pPr>
      <w:spacing w:after="200" w:line="276" w:lineRule="auto"/>
      <w:ind w:left="720"/>
      <w:contextualSpacing/>
    </w:pPr>
  </w:style>
  <w:style w:type="character" w:styleId="Lienhypertexte">
    <w:name w:val="Hyperlink"/>
    <w:basedOn w:val="Policepardfaut"/>
    <w:uiPriority w:val="99"/>
    <w:unhideWhenUsed/>
    <w:rsid w:val="00193478"/>
    <w:rPr>
      <w:color w:val="0563C1" w:themeColor="hyperlink"/>
      <w:u w:val="single"/>
    </w:rPr>
  </w:style>
  <w:style w:type="paragraph" w:styleId="Notedebasdepage">
    <w:name w:val="footnote text"/>
    <w:basedOn w:val="Normal"/>
    <w:link w:val="NotedebasdepageCar"/>
    <w:uiPriority w:val="99"/>
    <w:semiHidden/>
    <w:unhideWhenUsed/>
    <w:rsid w:val="001934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3478"/>
    <w:rPr>
      <w:sz w:val="20"/>
      <w:szCs w:val="20"/>
    </w:rPr>
  </w:style>
  <w:style w:type="character" w:styleId="Appelnotedebasdep">
    <w:name w:val="footnote reference"/>
    <w:basedOn w:val="Policepardfaut"/>
    <w:uiPriority w:val="99"/>
    <w:semiHidden/>
    <w:unhideWhenUsed/>
    <w:rsid w:val="00193478"/>
    <w:rPr>
      <w:vertAlign w:val="superscript"/>
    </w:rPr>
  </w:style>
  <w:style w:type="paragraph" w:styleId="En-tte">
    <w:name w:val="header"/>
    <w:basedOn w:val="Normal"/>
    <w:link w:val="En-tteCar"/>
    <w:uiPriority w:val="99"/>
    <w:unhideWhenUsed/>
    <w:rsid w:val="003F35EA"/>
    <w:pPr>
      <w:tabs>
        <w:tab w:val="center" w:pos="4680"/>
        <w:tab w:val="right" w:pos="9360"/>
      </w:tabs>
      <w:spacing w:after="0" w:line="240" w:lineRule="auto"/>
    </w:pPr>
  </w:style>
  <w:style w:type="character" w:customStyle="1" w:styleId="En-tteCar">
    <w:name w:val="En-tête Car"/>
    <w:basedOn w:val="Policepardfaut"/>
    <w:link w:val="En-tte"/>
    <w:uiPriority w:val="99"/>
    <w:rsid w:val="003F35EA"/>
  </w:style>
  <w:style w:type="paragraph" w:styleId="Pieddepage">
    <w:name w:val="footer"/>
    <w:basedOn w:val="Normal"/>
    <w:link w:val="PieddepageCar"/>
    <w:uiPriority w:val="99"/>
    <w:unhideWhenUsed/>
    <w:rsid w:val="003F35E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F35EA"/>
  </w:style>
  <w:style w:type="paragraph" w:styleId="Textedebulles">
    <w:name w:val="Balloon Text"/>
    <w:basedOn w:val="Normal"/>
    <w:link w:val="TextedebullesCar"/>
    <w:uiPriority w:val="99"/>
    <w:semiHidden/>
    <w:unhideWhenUsed/>
    <w:rsid w:val="00292E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2E12"/>
    <w:rPr>
      <w:rFonts w:ascii="Tahoma" w:hAnsi="Tahoma" w:cs="Tahoma"/>
      <w:sz w:val="16"/>
      <w:szCs w:val="16"/>
    </w:rPr>
  </w:style>
  <w:style w:type="paragraph" w:styleId="Lgende">
    <w:name w:val="caption"/>
    <w:basedOn w:val="Normal"/>
    <w:next w:val="Normal"/>
    <w:uiPriority w:val="35"/>
    <w:unhideWhenUsed/>
    <w:qFormat/>
    <w:rsid w:val="004A22CA"/>
    <w:pPr>
      <w:spacing w:after="200" w:line="240" w:lineRule="auto"/>
    </w:pPr>
    <w:rPr>
      <w:b/>
      <w:bCs/>
      <w:color w:val="5B9BD5" w:themeColor="accent1"/>
      <w:sz w:val="18"/>
      <w:szCs w:val="18"/>
    </w:rPr>
  </w:style>
  <w:style w:type="character" w:customStyle="1" w:styleId="hps">
    <w:name w:val="hps"/>
    <w:basedOn w:val="Policepardfaut"/>
    <w:rsid w:val="00F4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Gr&#225;fico%20e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3840769903762"/>
          <c:y val="0.19309478920768708"/>
          <c:w val="0.79968985126859138"/>
          <c:h val="0.5488440548704997"/>
        </c:manualLayout>
      </c:layout>
      <c:lineChart>
        <c:grouping val="standard"/>
        <c:varyColors val="0"/>
        <c:ser>
          <c:idx val="1"/>
          <c:order val="1"/>
          <c:tx>
            <c:strRef>
              <c:f>'[Gráfico en Microsoft Word]Hoja1'!$C$12</c:f>
              <c:strCache>
                <c:ptCount val="1"/>
                <c:pt idx="0">
                  <c:v>Kisumu, Maïs, Vente en gros, (Ksh/tonne)</c:v>
                </c:pt>
              </c:strCache>
            </c:strRef>
          </c:tx>
          <c:marker>
            <c:symbol val="none"/>
          </c:marker>
          <c:cat>
            <c:strRef>
              <c:f>'[Gráfico en Microsoft Word]Hoja1'!$A$13:$A$20</c:f>
              <c:strCache>
                <c:ptCount val="8"/>
                <c:pt idx="0">
                  <c:v>Juil-14</c:v>
                </c:pt>
                <c:pt idx="1">
                  <c:v>Aout-14</c:v>
                </c:pt>
                <c:pt idx="2">
                  <c:v>sep-14</c:v>
                </c:pt>
                <c:pt idx="3">
                  <c:v>oct-14</c:v>
                </c:pt>
                <c:pt idx="4">
                  <c:v>nov-14</c:v>
                </c:pt>
                <c:pt idx="5">
                  <c:v>Déc-14</c:v>
                </c:pt>
                <c:pt idx="6">
                  <c:v>Jan-15</c:v>
                </c:pt>
                <c:pt idx="7">
                  <c:v>Fev-15</c:v>
                </c:pt>
              </c:strCache>
            </c:strRef>
          </c:cat>
          <c:val>
            <c:numRef>
              <c:f>'[Gráfico en Microsoft Word]Hoja1'!$C$13:$C$20</c:f>
              <c:numCache>
                <c:formatCode>General</c:formatCode>
                <c:ptCount val="8"/>
                <c:pt idx="0">
                  <c:v>39688</c:v>
                </c:pt>
                <c:pt idx="1">
                  <c:v>37926</c:v>
                </c:pt>
                <c:pt idx="2">
                  <c:v>39917</c:v>
                </c:pt>
                <c:pt idx="3">
                  <c:v>38125</c:v>
                </c:pt>
                <c:pt idx="4">
                  <c:v>32642</c:v>
                </c:pt>
                <c:pt idx="5">
                  <c:v>28016</c:v>
                </c:pt>
                <c:pt idx="6">
                  <c:v>30274</c:v>
                </c:pt>
              </c:numCache>
            </c:numRef>
          </c:val>
          <c:smooth val="0"/>
        </c:ser>
        <c:dLbls>
          <c:showLegendKey val="0"/>
          <c:showVal val="0"/>
          <c:showCatName val="0"/>
          <c:showSerName val="0"/>
          <c:showPercent val="0"/>
          <c:showBubbleSize val="0"/>
        </c:dLbls>
        <c:marker val="1"/>
        <c:smooth val="0"/>
        <c:axId val="208203776"/>
        <c:axId val="208172160"/>
      </c:lineChart>
      <c:lineChart>
        <c:grouping val="standard"/>
        <c:varyColors val="0"/>
        <c:ser>
          <c:idx val="0"/>
          <c:order val="0"/>
          <c:tx>
            <c:strRef>
              <c:f>'[Gráfico en Microsoft Word]Hoja1'!$B$12</c:f>
              <c:strCache>
                <c:ptCount val="1"/>
                <c:pt idx="0">
                  <c:v>Kisumu diesel (Ksh/ltr)</c:v>
                </c:pt>
              </c:strCache>
            </c:strRef>
          </c:tx>
          <c:marker>
            <c:symbol val="none"/>
          </c:marker>
          <c:cat>
            <c:strRef>
              <c:f>'[Gráfico en Microsoft Word]Hoja1'!$A$13:$A$20</c:f>
              <c:strCache>
                <c:ptCount val="8"/>
                <c:pt idx="0">
                  <c:v>Juil-14</c:v>
                </c:pt>
                <c:pt idx="1">
                  <c:v>Aout-14</c:v>
                </c:pt>
                <c:pt idx="2">
                  <c:v>sep-14</c:v>
                </c:pt>
                <c:pt idx="3">
                  <c:v>oct-14</c:v>
                </c:pt>
                <c:pt idx="4">
                  <c:v>nov-14</c:v>
                </c:pt>
                <c:pt idx="5">
                  <c:v>Déc-14</c:v>
                </c:pt>
                <c:pt idx="6">
                  <c:v>Jan-15</c:v>
                </c:pt>
                <c:pt idx="7">
                  <c:v>Fev-15</c:v>
                </c:pt>
              </c:strCache>
            </c:strRef>
          </c:cat>
          <c:val>
            <c:numRef>
              <c:f>'[Gráfico en Microsoft Word]Hoja1'!$B$13:$B$20</c:f>
              <c:numCache>
                <c:formatCode>General</c:formatCode>
                <c:ptCount val="8"/>
                <c:pt idx="0">
                  <c:v>106.87</c:v>
                </c:pt>
                <c:pt idx="1">
                  <c:v>106.73</c:v>
                </c:pt>
                <c:pt idx="2">
                  <c:v>105.05</c:v>
                </c:pt>
                <c:pt idx="3">
                  <c:v>104.43</c:v>
                </c:pt>
                <c:pt idx="4">
                  <c:v>102.74</c:v>
                </c:pt>
                <c:pt idx="5">
                  <c:v>96.61</c:v>
                </c:pt>
                <c:pt idx="6">
                  <c:v>92.95</c:v>
                </c:pt>
                <c:pt idx="7">
                  <c:v>85.48</c:v>
                </c:pt>
              </c:numCache>
            </c:numRef>
          </c:val>
          <c:smooth val="0"/>
        </c:ser>
        <c:dLbls>
          <c:showLegendKey val="0"/>
          <c:showVal val="0"/>
          <c:showCatName val="0"/>
          <c:showSerName val="0"/>
          <c:showPercent val="0"/>
          <c:showBubbleSize val="0"/>
        </c:dLbls>
        <c:marker val="1"/>
        <c:smooth val="0"/>
        <c:axId val="208187776"/>
        <c:axId val="208173696"/>
      </c:lineChart>
      <c:catAx>
        <c:axId val="208203776"/>
        <c:scaling>
          <c:orientation val="minMax"/>
        </c:scaling>
        <c:delete val="0"/>
        <c:axPos val="b"/>
        <c:majorTickMark val="out"/>
        <c:minorTickMark val="none"/>
        <c:tickLblPos val="nextTo"/>
        <c:txPr>
          <a:bodyPr/>
          <a:lstStyle/>
          <a:p>
            <a:pPr>
              <a:defRPr sz="800"/>
            </a:pPr>
            <a:endParaRPr lang="fr-FR"/>
          </a:p>
        </c:txPr>
        <c:crossAx val="208172160"/>
        <c:crosses val="autoZero"/>
        <c:auto val="1"/>
        <c:lblAlgn val="ctr"/>
        <c:lblOffset val="100"/>
        <c:noMultiLvlLbl val="0"/>
      </c:catAx>
      <c:valAx>
        <c:axId val="208172160"/>
        <c:scaling>
          <c:orientation val="minMax"/>
        </c:scaling>
        <c:delete val="0"/>
        <c:axPos val="l"/>
        <c:majorGridlines/>
        <c:numFmt formatCode="General" sourceLinked="1"/>
        <c:majorTickMark val="out"/>
        <c:minorTickMark val="none"/>
        <c:tickLblPos val="nextTo"/>
        <c:crossAx val="208203776"/>
        <c:crosses val="autoZero"/>
        <c:crossBetween val="between"/>
        <c:majorUnit val="10000"/>
      </c:valAx>
      <c:valAx>
        <c:axId val="208173696"/>
        <c:scaling>
          <c:orientation val="minMax"/>
        </c:scaling>
        <c:delete val="0"/>
        <c:axPos val="r"/>
        <c:numFmt formatCode="General" sourceLinked="1"/>
        <c:majorTickMark val="out"/>
        <c:minorTickMark val="none"/>
        <c:tickLblPos val="nextTo"/>
        <c:crossAx val="208187776"/>
        <c:crosses val="max"/>
        <c:crossBetween val="between"/>
      </c:valAx>
      <c:catAx>
        <c:axId val="208187776"/>
        <c:scaling>
          <c:orientation val="minMax"/>
        </c:scaling>
        <c:delete val="1"/>
        <c:axPos val="b"/>
        <c:majorTickMark val="out"/>
        <c:minorTickMark val="none"/>
        <c:tickLblPos val="nextTo"/>
        <c:crossAx val="208173696"/>
        <c:crosses val="autoZero"/>
        <c:auto val="1"/>
        <c:lblAlgn val="ctr"/>
        <c:lblOffset val="100"/>
        <c:noMultiLvlLbl val="0"/>
      </c:catAx>
    </c:plotArea>
    <c:legend>
      <c:legendPos val="b"/>
      <c:layout>
        <c:manualLayout>
          <c:xMode val="edge"/>
          <c:yMode val="edge"/>
          <c:x val="0.12036386302865558"/>
          <c:y val="0.82955013545841982"/>
          <c:w val="0.73355841282323575"/>
          <c:h val="0.12483256574060318"/>
        </c:manualLayout>
      </c:layout>
      <c:overlay val="0"/>
      <c:txPr>
        <a:bodyPr/>
        <a:lstStyle/>
        <a:p>
          <a:pPr>
            <a:defRPr sz="800"/>
          </a:pPr>
          <a:endParaRPr lang="fr-FR"/>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0.16467</cdr:x>
      <cdr:y>0.03395</cdr:y>
    </cdr:from>
    <cdr:to>
      <cdr:x>0.8799</cdr:x>
      <cdr:y>0.13959</cdr:y>
    </cdr:to>
    <cdr:sp macro="" textlink="">
      <cdr:nvSpPr>
        <cdr:cNvPr id="4" name="3 Cuadro de texto"/>
        <cdr:cNvSpPr txBox="1"/>
      </cdr:nvSpPr>
      <cdr:spPr>
        <a:xfrm xmlns:a="http://schemas.openxmlformats.org/drawingml/2006/main">
          <a:off x="638175" y="85724"/>
          <a:ext cx="2771775" cy="266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s-ES" sz="1400"/>
            <a:t>PRIX DU MA</a:t>
          </a:r>
          <a:r>
            <a:rPr lang="es-ES" sz="1400">
              <a:latin typeface="Calibri"/>
              <a:cs typeface="Calibri"/>
            </a:rPr>
            <a:t>ÏS ET DU DIESEL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75D1-54FA-44C5-88E4-405481CF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245</Words>
  <Characters>1255</Characters>
  <Application>Microsoft Office Word</Application>
  <DocSecurity>0</DocSecurity>
  <Lines>52</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LCramer</dc:creator>
  <cp:lastModifiedBy>Gegepc</cp:lastModifiedBy>
  <cp:revision>5</cp:revision>
  <dcterms:created xsi:type="dcterms:W3CDTF">2015-08-25T01:45:00Z</dcterms:created>
  <dcterms:modified xsi:type="dcterms:W3CDTF">2015-08-25T11:44:00Z</dcterms:modified>
</cp:coreProperties>
</file>