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0" w:type="dxa"/>
        <w:tblBorders>
          <w:top w:val="single" w:sz="24" w:space="0" w:color="auto"/>
          <w:left w:val="single" w:sz="24" w:space="0" w:color="auto"/>
          <w:bottom w:val="single" w:sz="8" w:space="0" w:color="auto"/>
          <w:right w:val="single" w:sz="8" w:space="0" w:color="auto"/>
          <w:insideH w:val="single" w:sz="8" w:space="0" w:color="auto"/>
          <w:insideV w:val="single" w:sz="8" w:space="0" w:color="auto"/>
        </w:tblBorders>
        <w:shd w:val="pct5" w:color="auto" w:fill="auto"/>
        <w:tblLook w:val="04A0" w:firstRow="1" w:lastRow="0" w:firstColumn="1" w:lastColumn="0" w:noHBand="0" w:noVBand="1"/>
      </w:tblPr>
      <w:tblGrid>
        <w:gridCol w:w="3936"/>
        <w:gridCol w:w="1664"/>
        <w:gridCol w:w="4000"/>
      </w:tblGrid>
      <w:tr w:rsidR="00DB36B2" w:rsidTr="00DB36B2">
        <w:tc>
          <w:tcPr>
            <w:tcW w:w="9600" w:type="dxa"/>
            <w:gridSpan w:val="3"/>
            <w:tcBorders>
              <w:top w:val="single" w:sz="24" w:space="0" w:color="auto"/>
              <w:bottom w:val="single" w:sz="8" w:space="0" w:color="A6A6A6" w:themeColor="background1" w:themeShade="A6"/>
              <w:right w:val="single" w:sz="8" w:space="0" w:color="A6A6A6" w:themeColor="background1" w:themeShade="A6"/>
            </w:tcBorders>
            <w:shd w:val="pct5" w:color="auto" w:fill="auto"/>
          </w:tcPr>
          <w:p w:rsidR="004A6295" w:rsidRPr="004A6295" w:rsidRDefault="004A6295" w:rsidP="004A6295">
            <w:pPr>
              <w:spacing w:before="120"/>
              <w:rPr>
                <w:b/>
                <w:bCs/>
                <w:i/>
                <w:iCs/>
              </w:rPr>
            </w:pPr>
            <w:r>
              <w:rPr>
                <w:bCs/>
                <w:iCs/>
              </w:rPr>
              <w:t xml:space="preserve">Irrespective of personal or business use, employees found at fault for physical damage to or loss of a vehicle are subject to a deductible not to exceed US $500 per event for the repair or replacement of the vehicle.  </w:t>
            </w:r>
            <w:r w:rsidRPr="00C86DEA">
              <w:rPr>
                <w:bCs/>
                <w:iCs/>
              </w:rPr>
              <w:t xml:space="preserve">Deductibles for national staff found liable for damage to or loss of a vehicle are set by the Country Representative in alignment with local legal statutes.  </w:t>
            </w:r>
            <w:r w:rsidR="00F869DE" w:rsidRPr="00C86DEA">
              <w:rPr>
                <w:bCs/>
                <w:iCs/>
              </w:rPr>
              <w:t>Under</w:t>
            </w:r>
            <w:r w:rsidRPr="00C86DEA">
              <w:rPr>
                <w:bCs/>
                <w:iCs/>
              </w:rPr>
              <w:t xml:space="preserve"> no circumstances may penalties exceed 25%</w:t>
            </w:r>
            <w:r>
              <w:rPr>
                <w:bCs/>
                <w:iCs/>
              </w:rPr>
              <w:t xml:space="preserve"> of one (1) month’s net salary.</w:t>
            </w:r>
          </w:p>
          <w:p w:rsidR="004A6295" w:rsidRPr="004A6295" w:rsidRDefault="004A6295" w:rsidP="00562F37">
            <w:pPr>
              <w:spacing w:after="80"/>
              <w:rPr>
                <w:b/>
                <w:bCs/>
                <w:i/>
                <w:iCs/>
              </w:rPr>
            </w:pPr>
            <w:r w:rsidRPr="004A6295">
              <w:rPr>
                <w:b/>
                <w:bCs/>
                <w:i/>
                <w:iCs/>
                <w:color w:val="002060"/>
                <w:sz w:val="18"/>
              </w:rPr>
              <w:t>Policy</w:t>
            </w:r>
            <w:r>
              <w:rPr>
                <w:b/>
                <w:bCs/>
                <w:i/>
                <w:iCs/>
                <w:color w:val="002060"/>
                <w:sz w:val="18"/>
              </w:rPr>
              <w:t xml:space="preserve">: </w:t>
            </w:r>
            <w:r w:rsidRPr="004A6295">
              <w:rPr>
                <w:b/>
                <w:bCs/>
                <w:i/>
                <w:iCs/>
                <w:color w:val="002060"/>
                <w:sz w:val="18"/>
              </w:rPr>
              <w:t xml:space="preserve"> POL-OSD-VEH-001 – Use of CRS Vehicles</w:t>
            </w:r>
          </w:p>
        </w:tc>
      </w:tr>
      <w:tr w:rsidR="00DB36B2" w:rsidTr="00DB36B2">
        <w:tblPrEx>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shd w:val="clear" w:color="auto" w:fill="auto"/>
        </w:tblPrEx>
        <w:tc>
          <w:tcPr>
            <w:tcW w:w="8969" w:type="dxa"/>
            <w:gridSpan w:val="3"/>
            <w:tcBorders>
              <w:top w:val="single" w:sz="8" w:space="0" w:color="A6A6A6" w:themeColor="background1" w:themeShade="A6"/>
              <w:bottom w:val="nil"/>
            </w:tcBorders>
          </w:tcPr>
          <w:p w:rsidR="00DB36B2" w:rsidRDefault="00DB36B2" w:rsidP="000D17DD">
            <w:pPr>
              <w:jc w:val="center"/>
              <w:rPr>
                <w:rFonts w:ascii="Arial" w:hAnsi="Arial" w:cs="Arial"/>
                <w:noProof/>
                <w:color w:val="0000FF"/>
                <w:sz w:val="27"/>
                <w:szCs w:val="27"/>
              </w:rPr>
            </w:pPr>
            <w:r>
              <w:rPr>
                <w:rFonts w:ascii="Arial" w:hAnsi="Arial" w:cs="Arial"/>
                <w:noProof/>
                <w:color w:val="0000FF"/>
                <w:sz w:val="27"/>
                <w:szCs w:val="27"/>
              </w:rPr>
              <w:drawing>
                <wp:inline distT="0" distB="0" distL="0" distR="0" wp14:anchorId="16A34DA4" wp14:editId="11E649CC">
                  <wp:extent cx="2067584" cy="466165"/>
                  <wp:effectExtent l="0" t="0" r="8890" b="0"/>
                  <wp:docPr id="4" name="Picture 4" descr="Image result for icons of repor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s of repor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763" cy="474998"/>
                          </a:xfrm>
                          <a:prstGeom prst="rect">
                            <a:avLst/>
                          </a:prstGeom>
                          <a:noFill/>
                          <a:ln>
                            <a:noFill/>
                          </a:ln>
                        </pic:spPr>
                      </pic:pic>
                    </a:graphicData>
                  </a:graphic>
                </wp:inline>
              </w:drawing>
            </w:r>
          </w:p>
        </w:tc>
      </w:tr>
      <w:tr w:rsidR="00DB36B2" w:rsidTr="00DB36B2">
        <w:tblPrEx>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shd w:val="clear" w:color="auto" w:fill="auto"/>
        </w:tblPrEx>
        <w:trPr>
          <w:trHeight w:val="2610"/>
        </w:trPr>
        <w:tc>
          <w:tcPr>
            <w:tcW w:w="3696" w:type="dxa"/>
            <w:tcBorders>
              <w:bottom w:val="thinThickSmallGap" w:sz="24" w:space="0" w:color="auto"/>
            </w:tcBorders>
          </w:tcPr>
          <w:p w:rsidR="00DB36B2" w:rsidRPr="0045273F" w:rsidRDefault="00DB36B2" w:rsidP="002814C5">
            <w:pPr>
              <w:spacing w:before="120"/>
              <w:rPr>
                <w:b/>
                <w:bCs/>
                <w:i/>
                <w:iCs/>
                <w:noProof/>
              </w:rPr>
            </w:pPr>
            <w:r w:rsidRPr="0045273F">
              <w:rPr>
                <w:b/>
                <w:bCs/>
                <w:i/>
                <w:iCs/>
                <w:noProof/>
              </w:rPr>
              <w:drawing>
                <wp:inline distT="0" distB="0" distL="0" distR="0" wp14:anchorId="76749B31" wp14:editId="7272B0AB">
                  <wp:extent cx="2235640" cy="1552575"/>
                  <wp:effectExtent l="38100" t="38100" r="88900" b="85725"/>
                  <wp:docPr id="1" name="Picture 1" descr="C:\Files\CRS\EARO DRD-MQ\Fleet\Vehicles\KBB 813G Toyota Corolla\08-12-07 Accident Report EARO Corolla KBB 813G (Schofield)\Photos\December 7 2008 Acciden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iles\CRS\EARO DRD-MQ\Fleet\Vehicles\KBB 813G Toyota Corolla\08-12-07 Accident Report EARO Corolla KBB 813G (Schofield)\Photos\December 7 2008 Accident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6724" cy="1608885"/>
                          </a:xfrm>
                          <a:prstGeom prst="rect">
                            <a:avLst/>
                          </a:prstGeom>
                          <a:noFill/>
                          <a:ln>
                            <a:noFill/>
                          </a:ln>
                          <a:effectLst>
                            <a:outerShdw blurRad="50800" dist="38100" dir="2700000" algn="tl" rotWithShape="0">
                              <a:prstClr val="black">
                                <a:alpha val="40000"/>
                              </a:prstClr>
                            </a:outerShdw>
                          </a:effectLst>
                        </pic:spPr>
                      </pic:pic>
                    </a:graphicData>
                  </a:graphic>
                </wp:inline>
              </w:drawing>
            </w:r>
          </w:p>
        </w:tc>
        <w:bookmarkStart w:id="0" w:name="_MON_1508237320"/>
        <w:bookmarkEnd w:id="0"/>
        <w:tc>
          <w:tcPr>
            <w:tcW w:w="2137" w:type="dxa"/>
            <w:tcBorders>
              <w:bottom w:val="thinThickSmallGap" w:sz="24" w:space="0" w:color="auto"/>
            </w:tcBorders>
          </w:tcPr>
          <w:p w:rsidR="00DB36B2" w:rsidRDefault="00DB36B2" w:rsidP="00DB36B2">
            <w:pPr>
              <w:spacing w:before="120"/>
              <w:jc w:val="center"/>
              <w:rPr>
                <w:rFonts w:ascii="Arial" w:hAnsi="Arial" w:cs="Arial"/>
                <w:noProof/>
                <w:color w:val="0000FF"/>
                <w:sz w:val="27"/>
                <w:szCs w:val="27"/>
              </w:rPr>
            </w:pPr>
            <w:r w:rsidRPr="0045273F">
              <w:rPr>
                <w:b/>
                <w:bCs/>
                <w:i/>
                <w:iCs/>
                <w14:glow w14:rad="63500">
                  <w14:schemeClr w14:val="tx1">
                    <w14:alpha w14:val="60000"/>
                    <w14:lumMod w14:val="75000"/>
                    <w14:lumOff w14:val="25000"/>
                  </w14:schemeClr>
                </w14:glow>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2pt" o:ole="">
                  <v:imagedata r:id="rId10" o:title=""/>
                </v:shape>
                <o:OLEObject Type="Embed" ProgID="Word.DocumentMacroEnabled.12" ShapeID="_x0000_i1026" DrawAspect="Icon" ObjectID="_1512216445" r:id="rId11"/>
              </w:object>
            </w:r>
            <w:bookmarkStart w:id="1" w:name="_MON_1508237377"/>
            <w:bookmarkEnd w:id="1"/>
            <w:r>
              <w:rPr>
                <w:bCs/>
                <w:iCs/>
              </w:rPr>
              <w:object w:dxaOrig="1543" w:dyaOrig="995" w14:anchorId="0B2B133B">
                <v:shape id="_x0000_i1025" type="#_x0000_t75" style="width:66pt;height:42pt" o:ole="">
                  <v:imagedata r:id="rId12" o:title=""/>
                </v:shape>
                <o:OLEObject Type="Embed" ProgID="Word.DocumentMacroEnabled.12" ShapeID="_x0000_i1025" DrawAspect="Icon" ObjectID="_1512216446" r:id="rId13"/>
              </w:object>
            </w:r>
          </w:p>
        </w:tc>
        <w:tc>
          <w:tcPr>
            <w:tcW w:w="3136" w:type="dxa"/>
            <w:tcBorders>
              <w:bottom w:val="thinThickSmallGap" w:sz="24" w:space="0" w:color="auto"/>
            </w:tcBorders>
          </w:tcPr>
          <w:p w:rsidR="00DB36B2" w:rsidRDefault="00DB36B2" w:rsidP="00DB36B2">
            <w:pPr>
              <w:spacing w:before="120"/>
              <w:rPr>
                <w:rFonts w:ascii="Arial" w:hAnsi="Arial" w:cs="Arial"/>
                <w:noProof/>
                <w:color w:val="0000FF"/>
                <w:sz w:val="27"/>
                <w:szCs w:val="27"/>
              </w:rPr>
            </w:pPr>
            <w:r>
              <w:rPr>
                <w:rFonts w:ascii="Arial" w:hAnsi="Arial" w:cs="Arial"/>
                <w:noProof/>
                <w:color w:val="0000FF"/>
                <w:sz w:val="27"/>
                <w:szCs w:val="27"/>
              </w:rPr>
              <w:drawing>
                <wp:inline distT="0" distB="0" distL="0" distR="0">
                  <wp:extent cx="2403427"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Accident Voitur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6249" cy="1608737"/>
                          </a:xfrm>
                          <a:prstGeom prst="rect">
                            <a:avLst/>
                          </a:prstGeom>
                        </pic:spPr>
                      </pic:pic>
                    </a:graphicData>
                  </a:graphic>
                </wp:inline>
              </w:drawing>
            </w:r>
          </w:p>
        </w:tc>
        <w:bookmarkStart w:id="2" w:name="_GoBack"/>
        <w:bookmarkEnd w:id="2"/>
      </w:tr>
    </w:tbl>
    <w:p w:rsidR="004A6295" w:rsidRDefault="004A6295" w:rsidP="004A6295">
      <w:pPr>
        <w:spacing w:before="120"/>
        <w:rPr>
          <w:bCs/>
          <w:iCs/>
        </w:rPr>
      </w:pPr>
      <w:r>
        <w:rPr>
          <w:bCs/>
          <w:iCs/>
        </w:rPr>
        <w:t>CRS Drivers and Authorized Users are required to report any and all incidents and damage to CRS vehicles</w:t>
      </w:r>
      <w:r w:rsidR="005E2AFE">
        <w:rPr>
          <w:bCs/>
          <w:iCs/>
        </w:rPr>
        <w:t xml:space="preserve">, no matter how </w:t>
      </w:r>
      <w:r w:rsidR="001C3433">
        <w:rPr>
          <w:bCs/>
          <w:iCs/>
        </w:rPr>
        <w:t>insignificant they may appear</w:t>
      </w:r>
      <w:r>
        <w:rPr>
          <w:bCs/>
          <w:iCs/>
        </w:rPr>
        <w:t xml:space="preserve">.  Depending on the type of incident, different </w:t>
      </w:r>
      <w:r w:rsidR="00C00120">
        <w:rPr>
          <w:bCs/>
          <w:iCs/>
        </w:rPr>
        <w:t>reporting formats are</w:t>
      </w:r>
      <w:r>
        <w:rPr>
          <w:bCs/>
          <w:iCs/>
        </w:rPr>
        <w:t xml:space="preserve"> used as </w:t>
      </w:r>
      <w:r w:rsidR="00F869DE">
        <w:rPr>
          <w:bCs/>
          <w:iCs/>
        </w:rPr>
        <w:t>described</w:t>
      </w:r>
      <w:r>
        <w:rPr>
          <w:bCs/>
          <w:iCs/>
        </w:rPr>
        <w:t xml:space="preserve"> below.  Depending on the severity of the incident, further investigation by a senior manager and a determination of guilt may be warranted.  Drivers and Users found at fault may face minor to severe sanctions, and financial penalties may be imposed as per CRS policies and as permitted by local law.</w:t>
      </w:r>
    </w:p>
    <w:p w:rsidR="002E0A93" w:rsidRPr="000B21DF" w:rsidRDefault="002E0A93" w:rsidP="004A6295">
      <w:pPr>
        <w:spacing w:before="120"/>
        <w:rPr>
          <w:b/>
          <w:bCs/>
          <w:i/>
          <w:iCs/>
        </w:rPr>
      </w:pPr>
      <w:r>
        <w:rPr>
          <w:bCs/>
          <w:iCs/>
        </w:rPr>
        <w:t>When unreported accidents, damag</w:t>
      </w:r>
      <w:r w:rsidR="00C00120">
        <w:rPr>
          <w:bCs/>
          <w:iCs/>
        </w:rPr>
        <w:t>e to or loss of a vehicle are dis</w:t>
      </w:r>
      <w:r>
        <w:rPr>
          <w:bCs/>
          <w:iCs/>
        </w:rPr>
        <w:t xml:space="preserve">covered, they will be fully investigated and </w:t>
      </w:r>
      <w:r w:rsidR="00480515">
        <w:rPr>
          <w:bCs/>
          <w:iCs/>
        </w:rPr>
        <w:t xml:space="preserve">generally </w:t>
      </w:r>
      <w:r>
        <w:rPr>
          <w:bCs/>
          <w:iCs/>
        </w:rPr>
        <w:t xml:space="preserve">deemed to be the fault of the driver.  Not reporting accidents is a serious offense which could result in </w:t>
      </w:r>
      <w:r w:rsidR="004A6295">
        <w:rPr>
          <w:bCs/>
          <w:iCs/>
        </w:rPr>
        <w:t xml:space="preserve">penalties </w:t>
      </w:r>
      <w:r w:rsidR="00F869DE">
        <w:rPr>
          <w:bCs/>
          <w:iCs/>
        </w:rPr>
        <w:t>ranging</w:t>
      </w:r>
      <w:r w:rsidR="004A6295">
        <w:rPr>
          <w:bCs/>
          <w:iCs/>
        </w:rPr>
        <w:t xml:space="preserve"> from </w:t>
      </w:r>
      <w:r w:rsidR="00480515">
        <w:rPr>
          <w:bCs/>
          <w:iCs/>
        </w:rPr>
        <w:t xml:space="preserve">suspension of driving privileges up to </w:t>
      </w:r>
      <w:r>
        <w:rPr>
          <w:bCs/>
          <w:iCs/>
        </w:rPr>
        <w:t>termination of employment.</w:t>
      </w:r>
    </w:p>
    <w:p w:rsidR="004A6295" w:rsidRPr="0045273F" w:rsidRDefault="002E0A93" w:rsidP="0045273F">
      <w:pPr>
        <w:numPr>
          <w:ilvl w:val="0"/>
          <w:numId w:val="1"/>
        </w:numPr>
        <w:tabs>
          <w:tab w:val="clear" w:pos="452"/>
        </w:tabs>
        <w:spacing w:before="120"/>
        <w:ind w:left="380"/>
        <w:rPr>
          <w:b/>
          <w:bCs/>
          <w:i/>
          <w:iCs/>
        </w:rPr>
      </w:pPr>
      <w:r w:rsidRPr="00B67AAC">
        <w:rPr>
          <w:b/>
          <w:bCs/>
          <w:iCs/>
        </w:rPr>
        <w:t>Accidents (or “Road Crashes”) are defined as fol</w:t>
      </w:r>
      <w:r w:rsidR="00480515" w:rsidRPr="00B67AAC">
        <w:rPr>
          <w:b/>
          <w:bCs/>
          <w:iCs/>
        </w:rPr>
        <w:t>lows</w:t>
      </w:r>
      <w:r w:rsidR="00480515">
        <w:rPr>
          <w:bCs/>
          <w:iCs/>
        </w:rPr>
        <w:t>, and must be reported on a</w:t>
      </w:r>
      <w:r>
        <w:rPr>
          <w:bCs/>
          <w:iCs/>
        </w:rPr>
        <w:t xml:space="preserve"> </w:t>
      </w:r>
      <w:r w:rsidR="00480515">
        <w:rPr>
          <w:b/>
          <w:bCs/>
          <w:iCs/>
          <w:color w:val="993300"/>
        </w:rPr>
        <w:t>Vehicle A</w:t>
      </w:r>
      <w:r w:rsidRPr="00062727">
        <w:rPr>
          <w:b/>
          <w:bCs/>
          <w:iCs/>
          <w:color w:val="993300"/>
        </w:rPr>
        <w:t>ccident Report Form</w:t>
      </w:r>
      <w:r>
        <w:rPr>
          <w:bCs/>
          <w:iCs/>
        </w:rPr>
        <w:t>:</w:t>
      </w:r>
    </w:p>
    <w:p w:rsidR="002E0A93" w:rsidRPr="00C00120" w:rsidRDefault="00480515" w:rsidP="00C00120">
      <w:pPr>
        <w:pStyle w:val="ListParagraph"/>
        <w:numPr>
          <w:ilvl w:val="2"/>
          <w:numId w:val="6"/>
        </w:numPr>
        <w:spacing w:before="80"/>
        <w:ind w:left="720"/>
        <w:rPr>
          <w:bCs/>
          <w:iCs/>
        </w:rPr>
      </w:pPr>
      <w:r w:rsidRPr="00C00120">
        <w:rPr>
          <w:bCs/>
          <w:iCs/>
        </w:rPr>
        <w:t>a</w:t>
      </w:r>
      <w:r w:rsidR="002E0A93" w:rsidRPr="00C00120">
        <w:rPr>
          <w:bCs/>
          <w:iCs/>
        </w:rPr>
        <w:t>ny event involving a CRS vehicle that results in injury or death to an employee or 3</w:t>
      </w:r>
      <w:r w:rsidR="002E0A93" w:rsidRPr="00C00120">
        <w:rPr>
          <w:bCs/>
          <w:iCs/>
          <w:vertAlign w:val="superscript"/>
        </w:rPr>
        <w:t>rd</w:t>
      </w:r>
      <w:r w:rsidR="002E0A93" w:rsidRPr="00C00120">
        <w:rPr>
          <w:bCs/>
          <w:iCs/>
        </w:rPr>
        <w:t xml:space="preserve"> party;</w:t>
      </w:r>
    </w:p>
    <w:p w:rsidR="002E0A93" w:rsidRPr="00C00120" w:rsidRDefault="00480515" w:rsidP="00C00120">
      <w:pPr>
        <w:pStyle w:val="ListParagraph"/>
        <w:numPr>
          <w:ilvl w:val="2"/>
          <w:numId w:val="6"/>
        </w:numPr>
        <w:ind w:left="720"/>
        <w:rPr>
          <w:bCs/>
          <w:iCs/>
        </w:rPr>
      </w:pPr>
      <w:r w:rsidRPr="00C00120">
        <w:rPr>
          <w:bCs/>
          <w:iCs/>
        </w:rPr>
        <w:t>material</w:t>
      </w:r>
      <w:r w:rsidR="002E0A93" w:rsidRPr="00C00120">
        <w:rPr>
          <w:bCs/>
          <w:iCs/>
        </w:rPr>
        <w:t xml:space="preserve"> damage resulting from the following categories, regardless of repair cost:</w:t>
      </w:r>
    </w:p>
    <w:p w:rsidR="002E0A93" w:rsidRPr="000B21DF" w:rsidRDefault="002E0A93" w:rsidP="00C00120">
      <w:pPr>
        <w:numPr>
          <w:ilvl w:val="1"/>
          <w:numId w:val="1"/>
        </w:numPr>
        <w:tabs>
          <w:tab w:val="clear" w:pos="1820"/>
        </w:tabs>
        <w:ind w:left="1080"/>
        <w:rPr>
          <w:bCs/>
          <w:iCs/>
        </w:rPr>
      </w:pPr>
      <w:r w:rsidRPr="000B21DF">
        <w:rPr>
          <w:bCs/>
          <w:iCs/>
        </w:rPr>
        <w:t>collision between moving vehicles (includes non-motorized vehicles);</w:t>
      </w:r>
    </w:p>
    <w:p w:rsidR="002E0A93" w:rsidRDefault="002E0A93" w:rsidP="00C00120">
      <w:pPr>
        <w:numPr>
          <w:ilvl w:val="1"/>
          <w:numId w:val="1"/>
        </w:numPr>
        <w:tabs>
          <w:tab w:val="clear" w:pos="1820"/>
        </w:tabs>
        <w:ind w:left="1080"/>
        <w:rPr>
          <w:bCs/>
          <w:iCs/>
        </w:rPr>
      </w:pPr>
      <w:r>
        <w:rPr>
          <w:bCs/>
          <w:iCs/>
        </w:rPr>
        <w:t>collision between a vehicle (or motorcycle) and a stationary object (e.g., in a parking lot while backing up);</w:t>
      </w:r>
    </w:p>
    <w:p w:rsidR="002E0A93" w:rsidRDefault="002E0A93" w:rsidP="00C00120">
      <w:pPr>
        <w:numPr>
          <w:ilvl w:val="1"/>
          <w:numId w:val="1"/>
        </w:numPr>
        <w:tabs>
          <w:tab w:val="clear" w:pos="1820"/>
        </w:tabs>
        <w:ind w:left="1080"/>
        <w:rPr>
          <w:bCs/>
          <w:iCs/>
        </w:rPr>
      </w:pPr>
      <w:r>
        <w:rPr>
          <w:bCs/>
          <w:iCs/>
        </w:rPr>
        <w:t>non-collision road crash such as a vehicle roll over, spinning out of control, skidding or running off the road;</w:t>
      </w:r>
    </w:p>
    <w:p w:rsidR="002E0A93" w:rsidRDefault="002E0A93" w:rsidP="00C00120">
      <w:pPr>
        <w:numPr>
          <w:ilvl w:val="1"/>
          <w:numId w:val="1"/>
        </w:numPr>
        <w:tabs>
          <w:tab w:val="clear" w:pos="1820"/>
        </w:tabs>
        <w:ind w:left="1080"/>
        <w:rPr>
          <w:bCs/>
          <w:iCs/>
        </w:rPr>
      </w:pPr>
      <w:r>
        <w:rPr>
          <w:bCs/>
          <w:iCs/>
        </w:rPr>
        <w:t>collision with a pedestrian or animal</w:t>
      </w:r>
      <w:r w:rsidR="00480515">
        <w:rPr>
          <w:bCs/>
          <w:iCs/>
        </w:rPr>
        <w:t>;</w:t>
      </w:r>
    </w:p>
    <w:p w:rsidR="002E0A93" w:rsidRDefault="002E0A93" w:rsidP="00C00120">
      <w:pPr>
        <w:numPr>
          <w:ilvl w:val="1"/>
          <w:numId w:val="1"/>
        </w:numPr>
        <w:tabs>
          <w:tab w:val="clear" w:pos="1820"/>
        </w:tabs>
        <w:ind w:left="1080"/>
        <w:rPr>
          <w:bCs/>
          <w:iCs/>
        </w:rPr>
      </w:pPr>
      <w:r>
        <w:rPr>
          <w:bCs/>
          <w:iCs/>
        </w:rPr>
        <w:t>vehicle damaged while parked.</w:t>
      </w:r>
    </w:p>
    <w:p w:rsidR="002E0A93" w:rsidRDefault="002E0A93" w:rsidP="002E0A93">
      <w:pPr>
        <w:numPr>
          <w:ilvl w:val="0"/>
          <w:numId w:val="2"/>
        </w:numPr>
        <w:tabs>
          <w:tab w:val="clear" w:pos="432"/>
        </w:tabs>
        <w:spacing w:before="120"/>
        <w:ind w:left="380"/>
        <w:rPr>
          <w:bCs/>
          <w:iCs/>
        </w:rPr>
      </w:pPr>
      <w:r w:rsidRPr="00B67AAC">
        <w:rPr>
          <w:b/>
          <w:bCs/>
          <w:iCs/>
        </w:rPr>
        <w:t>Incidents are defined as follows</w:t>
      </w:r>
      <w:r>
        <w:rPr>
          <w:bCs/>
          <w:iCs/>
        </w:rPr>
        <w:t xml:space="preserve">, and must be reported on a </w:t>
      </w:r>
      <w:r w:rsidRPr="00062727">
        <w:rPr>
          <w:b/>
          <w:bCs/>
          <w:iCs/>
          <w:color w:val="993300"/>
        </w:rPr>
        <w:t>Security Incident Report Form</w:t>
      </w:r>
      <w:r>
        <w:rPr>
          <w:bCs/>
          <w:iCs/>
        </w:rPr>
        <w:t>:</w:t>
      </w:r>
    </w:p>
    <w:p w:rsidR="002E0A93" w:rsidRPr="00C00120" w:rsidRDefault="002E0A93" w:rsidP="00C00120">
      <w:pPr>
        <w:pStyle w:val="ListParagraph"/>
        <w:numPr>
          <w:ilvl w:val="1"/>
          <w:numId w:val="4"/>
        </w:numPr>
        <w:spacing w:before="80"/>
        <w:ind w:left="720"/>
        <w:rPr>
          <w:bCs/>
          <w:iCs/>
        </w:rPr>
      </w:pPr>
      <w:r w:rsidRPr="00C00120">
        <w:rPr>
          <w:bCs/>
          <w:iCs/>
        </w:rPr>
        <w:t>theft of a vehicle;</w:t>
      </w:r>
    </w:p>
    <w:p w:rsidR="002E0A93" w:rsidRPr="00C00120" w:rsidRDefault="002E0A93" w:rsidP="00C00120">
      <w:pPr>
        <w:pStyle w:val="ListParagraph"/>
        <w:numPr>
          <w:ilvl w:val="1"/>
          <w:numId w:val="4"/>
        </w:numPr>
        <w:ind w:left="720"/>
        <w:rPr>
          <w:bCs/>
          <w:iCs/>
        </w:rPr>
      </w:pPr>
      <w:r w:rsidRPr="00C00120">
        <w:rPr>
          <w:bCs/>
          <w:iCs/>
        </w:rPr>
        <w:t>theft of objects from a vehicle;</w:t>
      </w:r>
    </w:p>
    <w:p w:rsidR="00B67AAC" w:rsidRPr="00C00120" w:rsidRDefault="002E0A93" w:rsidP="00C00120">
      <w:pPr>
        <w:pStyle w:val="ListParagraph"/>
        <w:numPr>
          <w:ilvl w:val="1"/>
          <w:numId w:val="4"/>
        </w:numPr>
        <w:ind w:left="720"/>
        <w:rPr>
          <w:bCs/>
          <w:iCs/>
        </w:rPr>
      </w:pPr>
      <w:r w:rsidRPr="00C00120">
        <w:rPr>
          <w:bCs/>
          <w:iCs/>
        </w:rPr>
        <w:t>carjacking.</w:t>
      </w:r>
    </w:p>
    <w:p w:rsidR="004A6295" w:rsidRDefault="004A6295" w:rsidP="0045273F">
      <w:pPr>
        <w:rPr>
          <w:b/>
          <w:bCs/>
          <w:iCs/>
        </w:rPr>
      </w:pPr>
    </w:p>
    <w:p w:rsidR="002E0A93" w:rsidRDefault="002E0A93" w:rsidP="00B67AAC">
      <w:pPr>
        <w:spacing w:before="120"/>
        <w:rPr>
          <w:bCs/>
          <w:iCs/>
        </w:rPr>
      </w:pPr>
      <w:r w:rsidRPr="00C86DEA">
        <w:rPr>
          <w:b/>
          <w:bCs/>
          <w:iCs/>
        </w:rPr>
        <w:t>Levels of damage to vehicles</w:t>
      </w:r>
      <w:r>
        <w:rPr>
          <w:bCs/>
          <w:iCs/>
        </w:rPr>
        <w:t xml:space="preserve"> are defined as follows:</w:t>
      </w:r>
    </w:p>
    <w:p w:rsidR="002E0A93" w:rsidRPr="00C00120" w:rsidRDefault="00C86DEA" w:rsidP="00C00120">
      <w:pPr>
        <w:spacing w:before="80"/>
        <w:ind w:left="720" w:hanging="360"/>
        <w:rPr>
          <w:bCs/>
          <w:iCs/>
        </w:rPr>
      </w:pPr>
      <w:r w:rsidRPr="00C00120">
        <w:rPr>
          <w:b/>
          <w:bCs/>
          <w:iCs/>
        </w:rPr>
        <w:t>Level 1 –</w:t>
      </w:r>
      <w:r w:rsidRPr="00C00120">
        <w:rPr>
          <w:bCs/>
          <w:iCs/>
        </w:rPr>
        <w:t xml:space="preserve"> </w:t>
      </w:r>
      <w:r w:rsidR="002E0A93" w:rsidRPr="00C00120">
        <w:rPr>
          <w:b/>
          <w:bCs/>
          <w:iCs/>
        </w:rPr>
        <w:t xml:space="preserve">Negligible: </w:t>
      </w:r>
      <w:r w:rsidR="002E0A93" w:rsidRPr="00C00120">
        <w:rPr>
          <w:bCs/>
          <w:iCs/>
        </w:rPr>
        <w:t xml:space="preserve">damage considered normal wear and tear (e.g., dent from door of another vehicle caused in a parking lot; surface scratches) that generally does </w:t>
      </w:r>
      <w:r w:rsidRPr="00C00120">
        <w:rPr>
          <w:bCs/>
          <w:iCs/>
        </w:rPr>
        <w:t>not require immediate repair,</w:t>
      </w:r>
      <w:r w:rsidR="002E0A93" w:rsidRPr="00C00120">
        <w:rPr>
          <w:bCs/>
          <w:iCs/>
        </w:rPr>
        <w:t xml:space="preserve"> </w:t>
      </w:r>
      <w:r w:rsidRPr="00C00120">
        <w:rPr>
          <w:bCs/>
          <w:iCs/>
        </w:rPr>
        <w:t xml:space="preserve">and </w:t>
      </w:r>
      <w:r w:rsidR="002E0A93" w:rsidRPr="00C00120">
        <w:rPr>
          <w:bCs/>
          <w:iCs/>
        </w:rPr>
        <w:t xml:space="preserve">does not impact the operational status of the vehicle – </w:t>
      </w:r>
      <w:r w:rsidR="002E0A93" w:rsidRPr="00C00120">
        <w:rPr>
          <w:b/>
          <w:bCs/>
          <w:iCs/>
        </w:rPr>
        <w:t>does not result in vehicle down-time</w:t>
      </w:r>
      <w:r w:rsidR="002E0A93" w:rsidRPr="00C00120">
        <w:rPr>
          <w:bCs/>
          <w:iCs/>
        </w:rPr>
        <w:t>.</w:t>
      </w:r>
      <w:r w:rsidR="004A6295" w:rsidRPr="00C00120">
        <w:rPr>
          <w:bCs/>
          <w:iCs/>
        </w:rPr>
        <w:t xml:space="preserve">  Alert the VMU and/or HoOps.  They will decide if a Vehicle Accident Report is necessary.</w:t>
      </w:r>
    </w:p>
    <w:p w:rsidR="002E0A93" w:rsidRPr="00C00120" w:rsidRDefault="00C86DEA" w:rsidP="00C00120">
      <w:pPr>
        <w:spacing w:before="80"/>
        <w:ind w:left="720" w:hanging="360"/>
        <w:rPr>
          <w:bCs/>
          <w:iCs/>
        </w:rPr>
      </w:pPr>
      <w:r w:rsidRPr="00C00120">
        <w:rPr>
          <w:b/>
          <w:bCs/>
          <w:iCs/>
        </w:rPr>
        <w:t>Level 2 – M</w:t>
      </w:r>
      <w:r w:rsidR="00480515" w:rsidRPr="00C00120">
        <w:rPr>
          <w:b/>
          <w:bCs/>
          <w:iCs/>
        </w:rPr>
        <w:t>inor</w:t>
      </w:r>
      <w:r w:rsidR="002E0A93" w:rsidRPr="00C00120">
        <w:rPr>
          <w:b/>
          <w:bCs/>
          <w:iCs/>
        </w:rPr>
        <w:t>:</w:t>
      </w:r>
      <w:r w:rsidR="002E0A93" w:rsidRPr="00C00120">
        <w:rPr>
          <w:bCs/>
          <w:iCs/>
        </w:rPr>
        <w:t xml:space="preserve"> damage that is not considered normal wear and tear, and may require repair either to retain the value and appearance of the vehicle (e.g., small dents to a fender; bad scratches that go through the paint to the body of the vehicle) or to bring back to a safe and fully operational status (e.g., broken tail light cover; </w:t>
      </w:r>
      <w:r w:rsidR="002E0A93" w:rsidRPr="00C00120">
        <w:rPr>
          <w:bCs/>
          <w:iCs/>
        </w:rPr>
        <w:lastRenderedPageBreak/>
        <w:t xml:space="preserve">broken </w:t>
      </w:r>
      <w:r w:rsidRPr="00C00120">
        <w:rPr>
          <w:bCs/>
          <w:iCs/>
        </w:rPr>
        <w:t>side</w:t>
      </w:r>
      <w:r w:rsidR="002E0A93" w:rsidRPr="00C00120">
        <w:rPr>
          <w:bCs/>
          <w:iCs/>
        </w:rPr>
        <w:t xml:space="preserve">-view mirror) – </w:t>
      </w:r>
      <w:r w:rsidR="002E0A93" w:rsidRPr="00C00120">
        <w:rPr>
          <w:b/>
          <w:bCs/>
          <w:iCs/>
        </w:rPr>
        <w:t>may result in a small amount of vehicle down-time</w:t>
      </w:r>
      <w:r w:rsidR="002E0A93" w:rsidRPr="00C00120">
        <w:rPr>
          <w:bCs/>
          <w:iCs/>
        </w:rPr>
        <w:t>.</w:t>
      </w:r>
      <w:r w:rsidR="004A6295" w:rsidRPr="00C00120">
        <w:rPr>
          <w:bCs/>
          <w:iCs/>
        </w:rPr>
        <w:t xml:space="preserve">  Alert the VMU and/or HoOps.  Generally, a Vehicle Accident Report is necessary.</w:t>
      </w:r>
    </w:p>
    <w:p w:rsidR="002E0A93" w:rsidRPr="00C00120" w:rsidRDefault="00C86DEA" w:rsidP="00C00120">
      <w:pPr>
        <w:spacing w:before="80"/>
        <w:ind w:left="720" w:hanging="360"/>
        <w:rPr>
          <w:bCs/>
          <w:iCs/>
        </w:rPr>
      </w:pPr>
      <w:r w:rsidRPr="00C00120">
        <w:rPr>
          <w:b/>
          <w:bCs/>
          <w:iCs/>
        </w:rPr>
        <w:t>Level 3 – S</w:t>
      </w:r>
      <w:r w:rsidR="00480515" w:rsidRPr="00C00120">
        <w:rPr>
          <w:b/>
          <w:bCs/>
          <w:iCs/>
        </w:rPr>
        <w:t>ignificant</w:t>
      </w:r>
      <w:r w:rsidR="002E0A93" w:rsidRPr="00C00120">
        <w:rPr>
          <w:b/>
          <w:bCs/>
          <w:iCs/>
        </w:rPr>
        <w:t>:</w:t>
      </w:r>
      <w:r w:rsidR="002E0A93" w:rsidRPr="00C00120">
        <w:rPr>
          <w:bCs/>
          <w:iCs/>
        </w:rPr>
        <w:t xml:space="preserve"> damage that must be repaired to bring the vehicle back to a safe and fully operational status (e.g., broken windshield or other window; dent that restricts door operation or wheel functionality) – </w:t>
      </w:r>
      <w:r w:rsidR="002E0A93" w:rsidRPr="00C00120">
        <w:rPr>
          <w:b/>
          <w:bCs/>
          <w:iCs/>
        </w:rPr>
        <w:t>may result in extended vehicle down-time</w:t>
      </w:r>
      <w:r w:rsidR="002E0A93" w:rsidRPr="00C00120">
        <w:rPr>
          <w:bCs/>
          <w:iCs/>
        </w:rPr>
        <w:t>.</w:t>
      </w:r>
      <w:r w:rsidR="004A6295" w:rsidRPr="00C00120">
        <w:rPr>
          <w:bCs/>
          <w:iCs/>
        </w:rPr>
        <w:t xml:space="preserve">  Alert the VMU, HoOps and/or CR.  Complete and submit a Vehicle Accident Report to the HoOps or CR.</w:t>
      </w:r>
    </w:p>
    <w:p w:rsidR="002E0A93" w:rsidRPr="00C00120" w:rsidRDefault="00C86DEA" w:rsidP="00C00120">
      <w:pPr>
        <w:spacing w:before="80"/>
        <w:ind w:left="720" w:hanging="360"/>
        <w:rPr>
          <w:bCs/>
          <w:iCs/>
        </w:rPr>
      </w:pPr>
      <w:r w:rsidRPr="00C00120">
        <w:rPr>
          <w:b/>
          <w:bCs/>
          <w:iCs/>
        </w:rPr>
        <w:t>Level 4 – M</w:t>
      </w:r>
      <w:r w:rsidR="00480515" w:rsidRPr="00C00120">
        <w:rPr>
          <w:b/>
          <w:bCs/>
          <w:iCs/>
        </w:rPr>
        <w:t>ajor</w:t>
      </w:r>
      <w:r w:rsidR="002E0A93" w:rsidRPr="00C00120">
        <w:rPr>
          <w:b/>
          <w:bCs/>
          <w:iCs/>
        </w:rPr>
        <w:t xml:space="preserve">: </w:t>
      </w:r>
      <w:r w:rsidR="002E0A93" w:rsidRPr="00C00120">
        <w:rPr>
          <w:bCs/>
          <w:iCs/>
        </w:rPr>
        <w:t xml:space="preserve"> damage is so severe the vehicle can no longer be operated safely or legally until repaired – </w:t>
      </w:r>
      <w:r w:rsidR="002E0A93" w:rsidRPr="00C00120">
        <w:rPr>
          <w:b/>
          <w:bCs/>
          <w:iCs/>
        </w:rPr>
        <w:t>generally results in vehicle being out of service for several weeks</w:t>
      </w:r>
      <w:r w:rsidR="002E0A93" w:rsidRPr="00C00120">
        <w:rPr>
          <w:bCs/>
          <w:iCs/>
        </w:rPr>
        <w:t>.</w:t>
      </w:r>
      <w:r w:rsidR="004A6295" w:rsidRPr="00C00120">
        <w:rPr>
          <w:bCs/>
          <w:iCs/>
        </w:rPr>
        <w:t xml:space="preserve">  Alert the VMU, HoOps and/or CR.  Complete and submit a Vehicle Accident Report to the HoOps or CR.</w:t>
      </w:r>
    </w:p>
    <w:p w:rsidR="002E0A93" w:rsidRPr="00C00120" w:rsidRDefault="00C86DEA" w:rsidP="00C00120">
      <w:pPr>
        <w:spacing w:before="80"/>
        <w:ind w:left="720" w:hanging="360"/>
        <w:rPr>
          <w:bCs/>
          <w:iCs/>
        </w:rPr>
      </w:pPr>
      <w:r w:rsidRPr="00C00120">
        <w:rPr>
          <w:b/>
          <w:bCs/>
          <w:iCs/>
        </w:rPr>
        <w:t>Level 5 – T</w:t>
      </w:r>
      <w:r w:rsidR="002E0A93" w:rsidRPr="00C00120">
        <w:rPr>
          <w:b/>
          <w:bCs/>
          <w:iCs/>
        </w:rPr>
        <w:t>otaled:</w:t>
      </w:r>
      <w:r w:rsidR="002E0A93" w:rsidRPr="00C00120">
        <w:rPr>
          <w:bCs/>
          <w:iCs/>
        </w:rPr>
        <w:t xml:space="preserve">  </w:t>
      </w:r>
      <w:r w:rsidR="00480515" w:rsidRPr="00C00120">
        <w:rPr>
          <w:bCs/>
          <w:iCs/>
        </w:rPr>
        <w:t>damage to the point the vehicle</w:t>
      </w:r>
      <w:r w:rsidR="002E0A93" w:rsidRPr="00C00120">
        <w:rPr>
          <w:bCs/>
          <w:iCs/>
        </w:rPr>
        <w:t xml:space="preserve"> either cannot be repaired or the costs of repair</w:t>
      </w:r>
      <w:r w:rsidR="00480515" w:rsidRPr="00C00120">
        <w:rPr>
          <w:bCs/>
          <w:iCs/>
        </w:rPr>
        <w:t xml:space="preserve"> exceed its residual value</w:t>
      </w:r>
      <w:r w:rsidR="002E0A93" w:rsidRPr="00C00120">
        <w:rPr>
          <w:bCs/>
          <w:iCs/>
        </w:rPr>
        <w:t>.</w:t>
      </w:r>
      <w:r w:rsidR="004A6295" w:rsidRPr="00C00120">
        <w:rPr>
          <w:bCs/>
          <w:iCs/>
        </w:rPr>
        <w:t xml:space="preserve">  Alert the VMU, HoOps and/or CR.  Complete and submit a Vehicle Accident Report to the HoOps or CR.</w:t>
      </w:r>
    </w:p>
    <w:p w:rsidR="00C86DEA" w:rsidRDefault="00480515" w:rsidP="00C00120">
      <w:pPr>
        <w:spacing w:before="80"/>
        <w:ind w:left="360"/>
        <w:rPr>
          <w:bCs/>
          <w:iCs/>
        </w:rPr>
      </w:pPr>
      <w:r>
        <w:rPr>
          <w:bCs/>
          <w:iCs/>
        </w:rPr>
        <w:t>Whenever a Driver or Approved User</w:t>
      </w:r>
      <w:r w:rsidR="002E0A93">
        <w:rPr>
          <w:bCs/>
          <w:iCs/>
        </w:rPr>
        <w:t xml:space="preserve"> is </w:t>
      </w:r>
      <w:r w:rsidR="005E2AFE">
        <w:rPr>
          <w:bCs/>
          <w:iCs/>
        </w:rPr>
        <w:t xml:space="preserve">in a road crash while operating </w:t>
      </w:r>
      <w:r w:rsidR="002E0A93">
        <w:rPr>
          <w:bCs/>
          <w:iCs/>
        </w:rPr>
        <w:t xml:space="preserve">a </w:t>
      </w:r>
      <w:r>
        <w:rPr>
          <w:bCs/>
          <w:iCs/>
        </w:rPr>
        <w:t xml:space="preserve">CRS </w:t>
      </w:r>
      <w:r w:rsidR="002E0A93">
        <w:rPr>
          <w:bCs/>
          <w:iCs/>
        </w:rPr>
        <w:t>vehic</w:t>
      </w:r>
      <w:r w:rsidR="00B67AAC">
        <w:rPr>
          <w:bCs/>
          <w:iCs/>
        </w:rPr>
        <w:t xml:space="preserve">le, they </w:t>
      </w:r>
      <w:r w:rsidR="004A6295">
        <w:rPr>
          <w:bCs/>
          <w:iCs/>
        </w:rPr>
        <w:t xml:space="preserve">must </w:t>
      </w:r>
      <w:r w:rsidR="00B67AAC">
        <w:rPr>
          <w:bCs/>
          <w:iCs/>
        </w:rPr>
        <w:t>complete and submit a</w:t>
      </w:r>
      <w:r>
        <w:rPr>
          <w:bCs/>
          <w:iCs/>
        </w:rPr>
        <w:t xml:space="preserve"> Vehicle Accident Report</w:t>
      </w:r>
      <w:r w:rsidR="002E0A93">
        <w:rPr>
          <w:bCs/>
          <w:iCs/>
        </w:rPr>
        <w:t xml:space="preserve"> to the </w:t>
      </w:r>
      <w:r>
        <w:rPr>
          <w:bCs/>
          <w:iCs/>
        </w:rPr>
        <w:t>HoOps within three (3) days</w:t>
      </w:r>
      <w:r w:rsidR="002E0A93">
        <w:rPr>
          <w:bCs/>
          <w:iCs/>
        </w:rPr>
        <w:t xml:space="preserve">.  </w:t>
      </w:r>
      <w:r w:rsidR="005E2AFE">
        <w:rPr>
          <w:bCs/>
          <w:iCs/>
        </w:rPr>
        <w:t>Passengers are also requested to complete an Accid</w:t>
      </w:r>
      <w:r w:rsidR="00286287">
        <w:rPr>
          <w:bCs/>
          <w:iCs/>
        </w:rPr>
        <w:t>ent Report Form as witnesses</w:t>
      </w:r>
      <w:r w:rsidR="005E2AFE">
        <w:rPr>
          <w:bCs/>
          <w:iCs/>
        </w:rPr>
        <w:t xml:space="preserve"> to assist with any investigations.  </w:t>
      </w:r>
      <w:r>
        <w:rPr>
          <w:bCs/>
          <w:iCs/>
        </w:rPr>
        <w:t xml:space="preserve">The HoOps, in coordination with the CR, </w:t>
      </w:r>
      <w:r w:rsidR="002E0A93">
        <w:rPr>
          <w:bCs/>
          <w:iCs/>
        </w:rPr>
        <w:t>S</w:t>
      </w:r>
      <w:r w:rsidR="00B67AAC">
        <w:rPr>
          <w:bCs/>
          <w:iCs/>
        </w:rPr>
        <w:t xml:space="preserve">ecurity </w:t>
      </w:r>
      <w:r w:rsidR="002E0A93">
        <w:rPr>
          <w:bCs/>
          <w:iCs/>
        </w:rPr>
        <w:t>O</w:t>
      </w:r>
      <w:r w:rsidR="00B67AAC">
        <w:rPr>
          <w:bCs/>
          <w:iCs/>
        </w:rPr>
        <w:t>fficer</w:t>
      </w:r>
      <w:r w:rsidR="004A6295">
        <w:rPr>
          <w:bCs/>
          <w:iCs/>
        </w:rPr>
        <w:t xml:space="preserve"> and other senior staff, may </w:t>
      </w:r>
      <w:r w:rsidR="005E2AFE">
        <w:rPr>
          <w:bCs/>
          <w:iCs/>
        </w:rPr>
        <w:t xml:space="preserve">decide to </w:t>
      </w:r>
      <w:r w:rsidR="004A6295">
        <w:rPr>
          <w:bCs/>
          <w:iCs/>
        </w:rPr>
        <w:t xml:space="preserve">investigate further, </w:t>
      </w:r>
      <w:r w:rsidR="00F869DE">
        <w:rPr>
          <w:bCs/>
          <w:iCs/>
        </w:rPr>
        <w:t xml:space="preserve">and </w:t>
      </w:r>
      <w:r w:rsidR="004A6295">
        <w:rPr>
          <w:bCs/>
          <w:iCs/>
        </w:rPr>
        <w:t xml:space="preserve">will </w:t>
      </w:r>
      <w:r w:rsidR="002E0A93">
        <w:rPr>
          <w:bCs/>
          <w:iCs/>
        </w:rPr>
        <w:t xml:space="preserve">make a determination </w:t>
      </w:r>
      <w:r>
        <w:rPr>
          <w:bCs/>
          <w:iCs/>
        </w:rPr>
        <w:t xml:space="preserve">of </w:t>
      </w:r>
      <w:r w:rsidR="00F869DE">
        <w:rPr>
          <w:bCs/>
          <w:iCs/>
        </w:rPr>
        <w:t>fault.  They will then</w:t>
      </w:r>
      <w:r>
        <w:rPr>
          <w:bCs/>
          <w:iCs/>
        </w:rPr>
        <w:t xml:space="preserve"> specify </w:t>
      </w:r>
      <w:r w:rsidR="002E0A93">
        <w:rPr>
          <w:bCs/>
          <w:iCs/>
        </w:rPr>
        <w:t xml:space="preserve">the payment of a deductible </w:t>
      </w:r>
      <w:r>
        <w:rPr>
          <w:bCs/>
          <w:iCs/>
        </w:rPr>
        <w:t xml:space="preserve">as appropriate, </w:t>
      </w:r>
      <w:r w:rsidR="00286287">
        <w:rPr>
          <w:bCs/>
          <w:iCs/>
        </w:rPr>
        <w:t xml:space="preserve">and </w:t>
      </w:r>
      <w:r>
        <w:rPr>
          <w:bCs/>
          <w:iCs/>
        </w:rPr>
        <w:t xml:space="preserve">ascertain the </w:t>
      </w:r>
      <w:r w:rsidR="00286287">
        <w:rPr>
          <w:bCs/>
          <w:iCs/>
        </w:rPr>
        <w:t>status of driving privileges.</w:t>
      </w:r>
    </w:p>
    <w:p w:rsidR="006C730E" w:rsidRDefault="00C86DEA" w:rsidP="00C00120">
      <w:pPr>
        <w:spacing w:before="80"/>
        <w:ind w:left="360"/>
        <w:rPr>
          <w:bCs/>
          <w:iCs/>
        </w:rPr>
      </w:pPr>
      <w:r>
        <w:rPr>
          <w:bCs/>
          <w:iCs/>
        </w:rPr>
        <w:t xml:space="preserve">The CR or designate must </w:t>
      </w:r>
      <w:r w:rsidR="00F869DE">
        <w:rPr>
          <w:bCs/>
          <w:iCs/>
        </w:rPr>
        <w:t>notify</w:t>
      </w:r>
      <w:r>
        <w:rPr>
          <w:bCs/>
          <w:iCs/>
        </w:rPr>
        <w:t xml:space="preserve"> the RD and/or DRD-MQ o</w:t>
      </w:r>
      <w:r w:rsidR="00286287">
        <w:rPr>
          <w:bCs/>
          <w:iCs/>
        </w:rPr>
        <w:t>f all road crashes involving resulting in an</w:t>
      </w:r>
      <w:r>
        <w:rPr>
          <w:bCs/>
          <w:iCs/>
        </w:rPr>
        <w:t xml:space="preserve"> injury or </w:t>
      </w:r>
      <w:r w:rsidR="00F869DE">
        <w:rPr>
          <w:bCs/>
          <w:iCs/>
        </w:rPr>
        <w:t xml:space="preserve">fatality, </w:t>
      </w:r>
      <w:r>
        <w:rPr>
          <w:bCs/>
          <w:iCs/>
        </w:rPr>
        <w:t>vehicle damage at levels 3-5, and serious abuses by Authorized Users.  The RD (or designate) in collaboration with the CR (or designate) and perhaps the R</w:t>
      </w:r>
      <w:r w:rsidR="00F869DE">
        <w:rPr>
          <w:bCs/>
          <w:iCs/>
        </w:rPr>
        <w:t xml:space="preserve">egional </w:t>
      </w:r>
      <w:r>
        <w:rPr>
          <w:bCs/>
          <w:iCs/>
        </w:rPr>
        <w:t>S</w:t>
      </w:r>
      <w:r w:rsidR="00F869DE">
        <w:rPr>
          <w:bCs/>
          <w:iCs/>
        </w:rPr>
        <w:t xml:space="preserve">ecurity </w:t>
      </w:r>
      <w:r>
        <w:rPr>
          <w:bCs/>
          <w:iCs/>
        </w:rPr>
        <w:t>O</w:t>
      </w:r>
      <w:r w:rsidR="00F869DE">
        <w:rPr>
          <w:bCs/>
          <w:iCs/>
        </w:rPr>
        <w:t>fficer</w:t>
      </w:r>
      <w:r>
        <w:rPr>
          <w:bCs/>
          <w:iCs/>
        </w:rPr>
        <w:t>, will decide upon and document a recommended course of action.  The decision may be no action</w:t>
      </w:r>
      <w:r w:rsidR="00F869DE">
        <w:rPr>
          <w:bCs/>
          <w:iCs/>
        </w:rPr>
        <w:t xml:space="preserve"> whatsoever</w:t>
      </w:r>
      <w:r>
        <w:rPr>
          <w:bCs/>
          <w:iCs/>
        </w:rPr>
        <w:t>,</w:t>
      </w:r>
      <w:r w:rsidR="002E0A93">
        <w:rPr>
          <w:bCs/>
          <w:iCs/>
        </w:rPr>
        <w:t xml:space="preserve"> </w:t>
      </w:r>
      <w:r w:rsidR="00F869DE">
        <w:rPr>
          <w:bCs/>
          <w:iCs/>
        </w:rPr>
        <w:t xml:space="preserve">it may </w:t>
      </w:r>
      <w:r>
        <w:rPr>
          <w:bCs/>
          <w:iCs/>
        </w:rPr>
        <w:t xml:space="preserve">require the User to take additional driving lessons (internal or external) and repass a driving test, </w:t>
      </w:r>
      <w:r w:rsidR="00286287">
        <w:rPr>
          <w:bCs/>
          <w:iCs/>
        </w:rPr>
        <w:t xml:space="preserve">or </w:t>
      </w:r>
      <w:r w:rsidR="00F869DE">
        <w:rPr>
          <w:bCs/>
          <w:iCs/>
        </w:rPr>
        <w:t xml:space="preserve">could </w:t>
      </w:r>
      <w:r w:rsidR="002E0A93">
        <w:rPr>
          <w:bCs/>
          <w:iCs/>
        </w:rPr>
        <w:t>result in a probationary period</w:t>
      </w:r>
      <w:r>
        <w:rPr>
          <w:bCs/>
          <w:iCs/>
        </w:rPr>
        <w:t>,</w:t>
      </w:r>
      <w:r w:rsidR="002E0A93">
        <w:rPr>
          <w:bCs/>
          <w:iCs/>
        </w:rPr>
        <w:t xml:space="preserve"> suspension or r</w:t>
      </w:r>
      <w:r>
        <w:rPr>
          <w:bCs/>
          <w:iCs/>
        </w:rPr>
        <w:t>e</w:t>
      </w:r>
      <w:r w:rsidR="00286287">
        <w:rPr>
          <w:bCs/>
          <w:iCs/>
        </w:rPr>
        <w:t>moval of driving privileges.  Serious abuses</w:t>
      </w:r>
      <w:r>
        <w:rPr>
          <w:bCs/>
          <w:iCs/>
        </w:rPr>
        <w:t xml:space="preserve"> </w:t>
      </w:r>
      <w:r w:rsidR="00286287">
        <w:rPr>
          <w:bCs/>
          <w:iCs/>
        </w:rPr>
        <w:t>will</w:t>
      </w:r>
      <w:r w:rsidR="00F869DE">
        <w:rPr>
          <w:bCs/>
          <w:iCs/>
        </w:rPr>
        <w:t xml:space="preserve"> </w:t>
      </w:r>
      <w:r>
        <w:rPr>
          <w:bCs/>
          <w:iCs/>
        </w:rPr>
        <w:t>potentially</w:t>
      </w:r>
      <w:r w:rsidR="002E0A93">
        <w:rPr>
          <w:bCs/>
          <w:iCs/>
        </w:rPr>
        <w:t xml:space="preserve"> </w:t>
      </w:r>
      <w:r w:rsidR="00F869DE">
        <w:rPr>
          <w:bCs/>
          <w:iCs/>
        </w:rPr>
        <w:t xml:space="preserve">derive </w:t>
      </w:r>
      <w:r w:rsidR="00286287">
        <w:rPr>
          <w:bCs/>
          <w:iCs/>
        </w:rPr>
        <w:t>more serious punitive measures up to and including loss of employment.</w:t>
      </w:r>
    </w:p>
    <w:p w:rsidR="005E2AFE" w:rsidRDefault="005E2AFE" w:rsidP="00C00120">
      <w:pPr>
        <w:spacing w:before="80"/>
        <w:ind w:left="360"/>
      </w:pPr>
      <w:r>
        <w:rPr>
          <w:bCs/>
          <w:iCs/>
        </w:rPr>
        <w:t>Under no circumstances may a Driver or Authorized User independently contract a service provider to repair damage caused in a road crash</w:t>
      </w:r>
      <w:r w:rsidR="001C3433">
        <w:rPr>
          <w:bCs/>
          <w:iCs/>
        </w:rPr>
        <w:t xml:space="preserve"> in which they were involved</w:t>
      </w:r>
      <w:r>
        <w:rPr>
          <w:bCs/>
          <w:iCs/>
        </w:rPr>
        <w:t xml:space="preserve">.  CRS has preferred service providers to which the VMU will deliver </w:t>
      </w:r>
      <w:r w:rsidR="00286287">
        <w:rPr>
          <w:bCs/>
          <w:iCs/>
        </w:rPr>
        <w:t xml:space="preserve">the </w:t>
      </w:r>
      <w:r>
        <w:rPr>
          <w:bCs/>
          <w:iCs/>
        </w:rPr>
        <w:t xml:space="preserve">vehicle if it requires repair. </w:t>
      </w:r>
      <w:r w:rsidR="001C3433">
        <w:rPr>
          <w:bCs/>
          <w:iCs/>
        </w:rPr>
        <w:t xml:space="preserve"> Once CRS receives an</w:t>
      </w:r>
      <w:r>
        <w:rPr>
          <w:bCs/>
          <w:iCs/>
        </w:rPr>
        <w:t xml:space="preserve"> invoice for the repair</w:t>
      </w:r>
      <w:r w:rsidR="001C3433">
        <w:rPr>
          <w:bCs/>
          <w:iCs/>
        </w:rPr>
        <w:t>s</w:t>
      </w:r>
      <w:r>
        <w:rPr>
          <w:bCs/>
          <w:iCs/>
        </w:rPr>
        <w:t xml:space="preserve">, the person responsible for the damage </w:t>
      </w:r>
      <w:r w:rsidR="001C3433">
        <w:rPr>
          <w:bCs/>
          <w:iCs/>
        </w:rPr>
        <w:t>will be notified of any costs due CRS for the repair.</w:t>
      </w:r>
    </w:p>
    <w:sectPr w:rsidR="005E2AFE" w:rsidSect="004565D3">
      <w:headerReference w:type="even" r:id="rId15"/>
      <w:headerReference w:type="default" r:id="rId16"/>
      <w:footerReference w:type="even" r:id="rId17"/>
      <w:footerReference w:type="default" r:id="rId18"/>
      <w:headerReference w:type="first" r:id="rId19"/>
      <w:footerReference w:type="first" r:id="rId20"/>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01" w:rsidRDefault="001A3201" w:rsidP="004A6295">
      <w:r>
        <w:separator/>
      </w:r>
    </w:p>
  </w:endnote>
  <w:endnote w:type="continuationSeparator" w:id="0">
    <w:p w:rsidR="001A3201" w:rsidRDefault="001A3201" w:rsidP="004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5" w:rsidRDefault="00B22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49359"/>
      <w:docPartObj>
        <w:docPartGallery w:val="Page Numbers (Bottom of Page)"/>
        <w:docPartUnique/>
      </w:docPartObj>
    </w:sdtPr>
    <w:sdtEndPr>
      <w:rPr>
        <w:noProof/>
        <w:sz w:val="18"/>
      </w:rPr>
    </w:sdtEndPr>
    <w:sdtContent>
      <w:p w:rsidR="004A6295" w:rsidRPr="004A6295" w:rsidRDefault="004A6295">
        <w:pPr>
          <w:pStyle w:val="Footer"/>
          <w:jc w:val="right"/>
          <w:rPr>
            <w:sz w:val="18"/>
          </w:rPr>
        </w:pPr>
        <w:r w:rsidRPr="004A6295">
          <w:rPr>
            <w:sz w:val="18"/>
          </w:rPr>
          <w:fldChar w:fldCharType="begin"/>
        </w:r>
        <w:r w:rsidRPr="004A6295">
          <w:rPr>
            <w:sz w:val="18"/>
          </w:rPr>
          <w:instrText xml:space="preserve"> PAGE   \* MERGEFORMAT </w:instrText>
        </w:r>
        <w:r w:rsidRPr="004A6295">
          <w:rPr>
            <w:sz w:val="18"/>
          </w:rPr>
          <w:fldChar w:fldCharType="separate"/>
        </w:r>
        <w:r w:rsidR="00DB36B2">
          <w:rPr>
            <w:noProof/>
            <w:sz w:val="18"/>
          </w:rPr>
          <w:t>1</w:t>
        </w:r>
        <w:r w:rsidRPr="004A6295">
          <w:rPr>
            <w:noProof/>
            <w:sz w:val="18"/>
          </w:rPr>
          <w:fldChar w:fldCharType="end"/>
        </w:r>
      </w:p>
    </w:sdtContent>
  </w:sdt>
  <w:p w:rsidR="004A6295" w:rsidRDefault="004A6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5" w:rsidRDefault="00B2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01" w:rsidRDefault="001A3201" w:rsidP="004A6295">
      <w:r>
        <w:separator/>
      </w:r>
    </w:p>
  </w:footnote>
  <w:footnote w:type="continuationSeparator" w:id="0">
    <w:p w:rsidR="001A3201" w:rsidRDefault="001A3201" w:rsidP="004A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5" w:rsidRDefault="00B22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95" w:rsidRPr="004A6295" w:rsidRDefault="004A6295" w:rsidP="00B22345">
    <w:pPr>
      <w:pStyle w:val="Header"/>
      <w:pBdr>
        <w:bottom w:val="single" w:sz="24" w:space="1" w:color="auto"/>
      </w:pBdr>
      <w:tabs>
        <w:tab w:val="clear" w:pos="4680"/>
        <w:tab w:val="clear" w:pos="9360"/>
        <w:tab w:val="right" w:pos="9540"/>
      </w:tabs>
      <w:rPr>
        <w:b/>
        <w:sz w:val="32"/>
      </w:rPr>
    </w:pPr>
    <w:r w:rsidRPr="004A6295">
      <w:rPr>
        <w:b/>
        <w:sz w:val="32"/>
      </w:rPr>
      <w:t>Reporting Vehicle-Related Incidents</w:t>
    </w:r>
    <w:r w:rsidR="00B22345">
      <w:rPr>
        <w:b/>
        <w:sz w:val="32"/>
      </w:rPr>
      <w:tab/>
      <w:t>6.C</w:t>
    </w:r>
  </w:p>
  <w:p w:rsidR="004A6295" w:rsidRDefault="004A6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5" w:rsidRDefault="00B22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A3F"/>
    <w:multiLevelType w:val="hybridMultilevel"/>
    <w:tmpl w:val="4964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A001B"/>
    <w:multiLevelType w:val="hybridMultilevel"/>
    <w:tmpl w:val="283259A0"/>
    <w:lvl w:ilvl="0" w:tplc="707493A6">
      <w:start w:val="1"/>
      <w:numFmt w:val="bullet"/>
      <w:lvlText w:val=""/>
      <w:lvlJc w:val="left"/>
      <w:pPr>
        <w:tabs>
          <w:tab w:val="num" w:pos="452"/>
        </w:tabs>
        <w:ind w:left="452" w:hanging="360"/>
      </w:pPr>
      <w:rPr>
        <w:rFonts w:ascii="Symbol" w:hAnsi="Symbol" w:hint="default"/>
        <w:color w:val="auto"/>
        <w:sz w:val="20"/>
      </w:rPr>
    </w:lvl>
    <w:lvl w:ilvl="1" w:tplc="0944E7F8">
      <w:start w:val="1"/>
      <w:numFmt w:val="lowerLetter"/>
      <w:lvlText w:val="%2."/>
      <w:lvlJc w:val="left"/>
      <w:pPr>
        <w:tabs>
          <w:tab w:val="num" w:pos="1820"/>
        </w:tabs>
        <w:ind w:left="1820" w:hanging="360"/>
      </w:pPr>
      <w:rPr>
        <w:rFonts w:ascii="Arial Narrow" w:hAnsi="Arial Narrow" w:cs="Times New Roman" w:hint="default"/>
        <w:color w:val="auto"/>
        <w:sz w:val="22"/>
      </w:rPr>
    </w:lvl>
    <w:lvl w:ilvl="2" w:tplc="A1BAF6E0">
      <w:numFmt w:val="bullet"/>
      <w:lvlText w:val="-"/>
      <w:lvlJc w:val="left"/>
      <w:pPr>
        <w:ind w:left="2540" w:hanging="360"/>
      </w:pPr>
      <w:rPr>
        <w:rFonts w:ascii="Arial Narrow" w:eastAsia="Times New Roman" w:hAnsi="Arial Narrow" w:cs="Times New Roman"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39C92216"/>
    <w:multiLevelType w:val="hybridMultilevel"/>
    <w:tmpl w:val="B0D0A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B0C32"/>
    <w:multiLevelType w:val="hybridMultilevel"/>
    <w:tmpl w:val="33329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942ED1"/>
    <w:multiLevelType w:val="hybridMultilevel"/>
    <w:tmpl w:val="8D7684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6822"/>
    <w:multiLevelType w:val="hybridMultilevel"/>
    <w:tmpl w:val="63C4E24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C27DE"/>
    <w:multiLevelType w:val="hybridMultilevel"/>
    <w:tmpl w:val="B0D4342C"/>
    <w:lvl w:ilvl="0" w:tplc="707493A6">
      <w:start w:val="1"/>
      <w:numFmt w:val="bullet"/>
      <w:lvlText w:val=""/>
      <w:lvlJc w:val="left"/>
      <w:pPr>
        <w:tabs>
          <w:tab w:val="num" w:pos="432"/>
        </w:tabs>
        <w:ind w:left="432" w:hanging="360"/>
      </w:pPr>
      <w:rPr>
        <w:rFonts w:ascii="Symbol" w:hAnsi="Symbol" w:hint="default"/>
        <w:color w:val="auto"/>
        <w:sz w:val="20"/>
      </w:rPr>
    </w:lvl>
    <w:lvl w:ilvl="1" w:tplc="0B02A4C0">
      <w:numFmt w:val="bullet"/>
      <w:lvlText w:val="-"/>
      <w:lvlJc w:val="left"/>
      <w:pPr>
        <w:ind w:left="1815" w:hanging="375"/>
      </w:pPr>
      <w:rPr>
        <w:rFonts w:ascii="Arial Narrow" w:eastAsia="Times New Roman" w:hAnsi="Arial Narrow"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93"/>
    <w:rsid w:val="000934B6"/>
    <w:rsid w:val="000D17DD"/>
    <w:rsid w:val="00131BB6"/>
    <w:rsid w:val="001A3201"/>
    <w:rsid w:val="001C3433"/>
    <w:rsid w:val="002814C5"/>
    <w:rsid w:val="00286287"/>
    <w:rsid w:val="002E0A93"/>
    <w:rsid w:val="00346646"/>
    <w:rsid w:val="0045273F"/>
    <w:rsid w:val="004565D3"/>
    <w:rsid w:val="00480515"/>
    <w:rsid w:val="004A6295"/>
    <w:rsid w:val="00562F37"/>
    <w:rsid w:val="005E2AFE"/>
    <w:rsid w:val="005E4E19"/>
    <w:rsid w:val="006163B5"/>
    <w:rsid w:val="00653D9A"/>
    <w:rsid w:val="006C730E"/>
    <w:rsid w:val="00720F72"/>
    <w:rsid w:val="0074085B"/>
    <w:rsid w:val="00883167"/>
    <w:rsid w:val="00B22345"/>
    <w:rsid w:val="00B27C17"/>
    <w:rsid w:val="00B67AAC"/>
    <w:rsid w:val="00C00120"/>
    <w:rsid w:val="00C86DEA"/>
    <w:rsid w:val="00D40B0D"/>
    <w:rsid w:val="00DB36B2"/>
    <w:rsid w:val="00DE3EC0"/>
    <w:rsid w:val="00E35032"/>
    <w:rsid w:val="00F869DE"/>
    <w:rsid w:val="00FC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F563D-FF17-4DD4-94E7-4300D5DA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93"/>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295"/>
    <w:pPr>
      <w:tabs>
        <w:tab w:val="center" w:pos="4680"/>
        <w:tab w:val="right" w:pos="9360"/>
      </w:tabs>
    </w:pPr>
  </w:style>
  <w:style w:type="character" w:customStyle="1" w:styleId="HeaderChar">
    <w:name w:val="Header Char"/>
    <w:basedOn w:val="DefaultParagraphFont"/>
    <w:link w:val="Header"/>
    <w:uiPriority w:val="99"/>
    <w:rsid w:val="004A6295"/>
    <w:rPr>
      <w:rFonts w:ascii="Arial Narrow" w:hAnsi="Arial Narrow"/>
      <w:sz w:val="22"/>
    </w:rPr>
  </w:style>
  <w:style w:type="paragraph" w:styleId="Footer">
    <w:name w:val="footer"/>
    <w:basedOn w:val="Normal"/>
    <w:link w:val="FooterChar"/>
    <w:uiPriority w:val="99"/>
    <w:unhideWhenUsed/>
    <w:rsid w:val="004A6295"/>
    <w:pPr>
      <w:tabs>
        <w:tab w:val="center" w:pos="4680"/>
        <w:tab w:val="right" w:pos="9360"/>
      </w:tabs>
    </w:pPr>
  </w:style>
  <w:style w:type="character" w:customStyle="1" w:styleId="FooterChar">
    <w:name w:val="Footer Char"/>
    <w:basedOn w:val="DefaultParagraphFont"/>
    <w:link w:val="Footer"/>
    <w:uiPriority w:val="99"/>
    <w:rsid w:val="004A6295"/>
    <w:rPr>
      <w:rFonts w:ascii="Arial Narrow" w:hAnsi="Arial Narrow"/>
      <w:sz w:val="22"/>
    </w:rPr>
  </w:style>
  <w:style w:type="table" w:styleId="TableGrid">
    <w:name w:val="Table Grid"/>
    <w:basedOn w:val="TableNormal"/>
    <w:rsid w:val="004A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5273F"/>
    <w:rPr>
      <w:sz w:val="16"/>
      <w:szCs w:val="16"/>
    </w:rPr>
  </w:style>
  <w:style w:type="paragraph" w:styleId="CommentText">
    <w:name w:val="annotation text"/>
    <w:basedOn w:val="Normal"/>
    <w:link w:val="CommentTextChar"/>
    <w:semiHidden/>
    <w:unhideWhenUsed/>
    <w:rsid w:val="0045273F"/>
    <w:rPr>
      <w:sz w:val="20"/>
    </w:rPr>
  </w:style>
  <w:style w:type="character" w:customStyle="1" w:styleId="CommentTextChar">
    <w:name w:val="Comment Text Char"/>
    <w:basedOn w:val="DefaultParagraphFont"/>
    <w:link w:val="CommentText"/>
    <w:semiHidden/>
    <w:rsid w:val="0045273F"/>
    <w:rPr>
      <w:rFonts w:ascii="Arial Narrow" w:hAnsi="Arial Narrow"/>
    </w:rPr>
  </w:style>
  <w:style w:type="paragraph" w:styleId="CommentSubject">
    <w:name w:val="annotation subject"/>
    <w:basedOn w:val="CommentText"/>
    <w:next w:val="CommentText"/>
    <w:link w:val="CommentSubjectChar"/>
    <w:semiHidden/>
    <w:unhideWhenUsed/>
    <w:rsid w:val="0045273F"/>
    <w:rPr>
      <w:b/>
      <w:bCs/>
    </w:rPr>
  </w:style>
  <w:style w:type="character" w:customStyle="1" w:styleId="CommentSubjectChar">
    <w:name w:val="Comment Subject Char"/>
    <w:basedOn w:val="CommentTextChar"/>
    <w:link w:val="CommentSubject"/>
    <w:semiHidden/>
    <w:rsid w:val="0045273F"/>
    <w:rPr>
      <w:rFonts w:ascii="Arial Narrow" w:hAnsi="Arial Narrow"/>
      <w:b/>
      <w:bCs/>
    </w:rPr>
  </w:style>
  <w:style w:type="paragraph" w:styleId="BalloonText">
    <w:name w:val="Balloon Text"/>
    <w:basedOn w:val="Normal"/>
    <w:link w:val="BalloonTextChar"/>
    <w:semiHidden/>
    <w:unhideWhenUsed/>
    <w:rsid w:val="0045273F"/>
    <w:rPr>
      <w:rFonts w:ascii="Segoe UI" w:hAnsi="Segoe UI" w:cs="Segoe UI"/>
      <w:sz w:val="18"/>
      <w:szCs w:val="18"/>
    </w:rPr>
  </w:style>
  <w:style w:type="character" w:customStyle="1" w:styleId="BalloonTextChar">
    <w:name w:val="Balloon Text Char"/>
    <w:basedOn w:val="DefaultParagraphFont"/>
    <w:link w:val="BalloonText"/>
    <w:semiHidden/>
    <w:rsid w:val="0045273F"/>
    <w:rPr>
      <w:rFonts w:ascii="Segoe UI" w:hAnsi="Segoe UI" w:cs="Segoe UI"/>
      <w:sz w:val="18"/>
      <w:szCs w:val="18"/>
    </w:rPr>
  </w:style>
  <w:style w:type="paragraph" w:styleId="ListParagraph">
    <w:name w:val="List Paragraph"/>
    <w:basedOn w:val="Normal"/>
    <w:uiPriority w:val="34"/>
    <w:qFormat/>
    <w:rsid w:val="00C0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Macro-Enabled_Document2.docm"/><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imgres?imgurl=http://www.conyersga.com/Home/ShowImage?id%3D924%26t%3D635711587975530000&amp;imgrefurl=http://www.conyersga.com/government/conyers-police/police-reports&amp;h=98&amp;w=432&amp;tbnid=lc3QHmxOHEc02M:&amp;docid=tHqWVZlhbSjXZM&amp;ei=vxteVuuVEcLYesLSj7AF&amp;tbm=isch&amp;ved=0ahUKEwir8Y3X17vJAhVCrB4KHULpA1Y4yAEQMwghKB4wHg" TargetMode="Externa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Macro-Enabled_Document1.docm"/><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3E956-6403-4A5C-81AD-5C7FE20E7C54}"/>
</file>

<file path=customXml/itemProps2.xml><?xml version="1.0" encoding="utf-8"?>
<ds:datastoreItem xmlns:ds="http://schemas.openxmlformats.org/officeDocument/2006/customXml" ds:itemID="{7E1BEB15-E5AA-4A50-B017-226DEFF7498D}"/>
</file>

<file path=customXml/itemProps3.xml><?xml version="1.0" encoding="utf-8"?>
<ds:datastoreItem xmlns:ds="http://schemas.openxmlformats.org/officeDocument/2006/customXml" ds:itemID="{3F1FA2F3-CF61-4185-9DBF-97017C06DCE0}"/>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EARO GUIDANCE –</vt:lpstr>
    </vt:vector>
  </TitlesOfParts>
  <Company>Coddington Consulting</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EARO GUIDANCE –</dc:title>
  <dc:subject/>
  <dc:creator>Dave Coddington</dc:creator>
  <cp:keywords/>
  <dc:description/>
  <cp:lastModifiedBy>Dave Coddington</cp:lastModifiedBy>
  <cp:revision>2</cp:revision>
  <cp:lastPrinted>2015-11-23T22:08:00Z</cp:lastPrinted>
  <dcterms:created xsi:type="dcterms:W3CDTF">2015-12-21T22:20:00Z</dcterms:created>
  <dcterms:modified xsi:type="dcterms:W3CDTF">2015-12-21T22:20:00Z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