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D5D3E" w14:textId="77777777" w:rsidR="00986332" w:rsidRPr="001D1F24" w:rsidRDefault="00986332" w:rsidP="00986332">
      <w:pPr>
        <w:pStyle w:val="Title"/>
        <w:rPr>
          <w:rStyle w:val="IntenseEmphasis"/>
          <w:rFonts w:asciiTheme="minorHAnsi" w:hAnsiTheme="minorHAnsi" w:cstheme="minorHAnsi"/>
          <w:sz w:val="32"/>
          <w:szCs w:val="32"/>
          <w:lang w:val="es-PE"/>
        </w:rPr>
      </w:pPr>
      <w:bookmarkStart w:id="0" w:name="_GoBack"/>
      <w:bookmarkEnd w:id="0"/>
      <w:r w:rsidRPr="001D1F24">
        <w:rPr>
          <w:rStyle w:val="IntenseEmphasis"/>
          <w:rFonts w:asciiTheme="minorHAnsi" w:hAnsiTheme="minorHAnsi" w:cstheme="minorHAnsi"/>
          <w:sz w:val="32"/>
          <w:szCs w:val="32"/>
          <w:lang w:val="es-PE"/>
        </w:rPr>
        <w:t>NOTA INFORMATIVA: Transversalización de la protección /</w:t>
      </w:r>
      <w:r w:rsidR="00502D23">
        <w:rPr>
          <w:rStyle w:val="IntenseEmphasis"/>
          <w:rFonts w:asciiTheme="minorHAnsi" w:hAnsiTheme="minorHAnsi" w:cstheme="minorHAnsi"/>
          <w:sz w:val="32"/>
          <w:szCs w:val="32"/>
          <w:lang w:val="es-PE"/>
        </w:rPr>
        <w:t xml:space="preserve"> Programación s</w:t>
      </w:r>
      <w:r w:rsidR="0018247C">
        <w:rPr>
          <w:rStyle w:val="IntenseEmphasis"/>
          <w:rFonts w:asciiTheme="minorHAnsi" w:hAnsiTheme="minorHAnsi" w:cstheme="minorHAnsi"/>
          <w:sz w:val="32"/>
          <w:szCs w:val="32"/>
          <w:lang w:val="es-PE"/>
        </w:rPr>
        <w:t xml:space="preserve">egura y </w:t>
      </w:r>
      <w:r w:rsidR="00502D23">
        <w:rPr>
          <w:rStyle w:val="IntenseEmphasis"/>
          <w:rFonts w:asciiTheme="minorHAnsi" w:hAnsiTheme="minorHAnsi" w:cstheme="minorHAnsi"/>
          <w:sz w:val="32"/>
          <w:szCs w:val="32"/>
          <w:lang w:val="es-PE"/>
        </w:rPr>
        <w:t>d</w:t>
      </w:r>
      <w:r w:rsidR="0018247C">
        <w:rPr>
          <w:rStyle w:val="IntenseEmphasis"/>
          <w:rFonts w:asciiTheme="minorHAnsi" w:hAnsiTheme="minorHAnsi" w:cstheme="minorHAnsi"/>
          <w:sz w:val="32"/>
          <w:szCs w:val="32"/>
          <w:lang w:val="es-PE"/>
        </w:rPr>
        <w:t>igna</w:t>
      </w:r>
    </w:p>
    <w:p w14:paraId="454ECC05" w14:textId="77777777" w:rsidR="00986332" w:rsidRPr="001D1F24" w:rsidRDefault="00986332" w:rsidP="00986332">
      <w:pPr>
        <w:spacing w:after="0" w:line="240" w:lineRule="auto"/>
        <w:jc w:val="both"/>
        <w:rPr>
          <w:rStyle w:val="IntenseEmphasis"/>
          <w:rFonts w:cstheme="minorHAnsi"/>
          <w:sz w:val="24"/>
          <w:szCs w:val="24"/>
          <w:lang w:val="es-PE"/>
        </w:rPr>
      </w:pPr>
      <w:r w:rsidRPr="001D1F24">
        <w:rPr>
          <w:rStyle w:val="IntenseEmphasis"/>
          <w:rFonts w:cstheme="minorHAnsi"/>
          <w:sz w:val="24"/>
          <w:szCs w:val="24"/>
          <w:lang w:val="es-PE"/>
        </w:rPr>
        <w:t>¿Qué es transversalización de l</w:t>
      </w:r>
      <w:r>
        <w:rPr>
          <w:rStyle w:val="IntenseEmphasis"/>
          <w:rFonts w:cstheme="minorHAnsi"/>
          <w:sz w:val="24"/>
          <w:szCs w:val="24"/>
          <w:lang w:val="es-PE"/>
        </w:rPr>
        <w:t>a protección</w:t>
      </w:r>
      <w:r w:rsidRPr="001D1F24">
        <w:rPr>
          <w:rStyle w:val="IntenseEmphasis"/>
          <w:rFonts w:cstheme="minorHAnsi"/>
          <w:sz w:val="24"/>
          <w:szCs w:val="24"/>
          <w:lang w:val="es-PE"/>
        </w:rPr>
        <w:t>?</w:t>
      </w:r>
      <w:r>
        <w:rPr>
          <w:rStyle w:val="FootnoteReference"/>
          <w:rFonts w:cstheme="minorHAnsi"/>
          <w:b/>
          <w:bCs/>
          <w:i/>
          <w:iCs/>
          <w:color w:val="4F81BD" w:themeColor="accent1"/>
          <w:sz w:val="24"/>
          <w:szCs w:val="24"/>
        </w:rPr>
        <w:footnoteReference w:id="1"/>
      </w:r>
    </w:p>
    <w:p w14:paraId="7AF5B401" w14:textId="77777777" w:rsidR="00986332" w:rsidRPr="00D741A3" w:rsidRDefault="00986332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  <w:r>
        <w:rPr>
          <w:rFonts w:ascii="Calibri" w:hAnsi="Calibri" w:cs="Calibri"/>
          <w:sz w:val="21"/>
          <w:szCs w:val="21"/>
          <w:lang w:val="es-PE"/>
        </w:rPr>
        <w:t>Transversalización de la protección es</w:t>
      </w:r>
      <w:r w:rsidR="004E023B">
        <w:rPr>
          <w:rFonts w:ascii="Calibri" w:hAnsi="Calibri" w:cs="Calibri"/>
          <w:sz w:val="21"/>
          <w:szCs w:val="21"/>
          <w:lang w:val="es-PE"/>
        </w:rPr>
        <w:t xml:space="preserve"> el proceso de incorporar </w:t>
      </w:r>
      <w:r>
        <w:rPr>
          <w:rFonts w:ascii="Calibri" w:hAnsi="Calibri" w:cs="Calibri"/>
          <w:sz w:val="21"/>
          <w:szCs w:val="21"/>
          <w:lang w:val="es-PE"/>
        </w:rPr>
        <w:t xml:space="preserve">principios de protección </w:t>
      </w:r>
      <w:r w:rsidRPr="009D290E">
        <w:rPr>
          <w:rFonts w:ascii="Calibri" w:hAnsi="Calibri" w:cs="Calibri"/>
          <w:sz w:val="21"/>
          <w:szCs w:val="21"/>
          <w:lang w:val="es-PE"/>
        </w:rPr>
        <w:t>y promover</w:t>
      </w:r>
      <w:r>
        <w:rPr>
          <w:rFonts w:ascii="Calibri" w:hAnsi="Calibri" w:cs="Calibri"/>
          <w:sz w:val="21"/>
          <w:szCs w:val="21"/>
          <w:lang w:val="es-PE"/>
        </w:rPr>
        <w:t xml:space="preserve">acceso </w:t>
      </w:r>
      <w:r w:rsidR="004E023B">
        <w:rPr>
          <w:rFonts w:ascii="Calibri" w:hAnsi="Calibri" w:cs="Calibri"/>
          <w:sz w:val="21"/>
          <w:szCs w:val="21"/>
          <w:lang w:val="es-PE"/>
        </w:rPr>
        <w:t>significativo</w:t>
      </w:r>
      <w:r>
        <w:rPr>
          <w:rFonts w:ascii="Calibri" w:hAnsi="Calibri" w:cs="Calibri"/>
          <w:sz w:val="21"/>
          <w:szCs w:val="21"/>
          <w:lang w:val="es-PE"/>
        </w:rPr>
        <w:t xml:space="preserve">, seguridad y dignidad </w:t>
      </w:r>
      <w:r w:rsidR="004E023B">
        <w:rPr>
          <w:rFonts w:ascii="Calibri" w:hAnsi="Calibri" w:cs="Calibri"/>
          <w:sz w:val="21"/>
          <w:szCs w:val="21"/>
          <w:lang w:val="es-PE"/>
        </w:rPr>
        <w:t>en</w:t>
      </w:r>
      <w:r>
        <w:rPr>
          <w:rFonts w:ascii="Calibri" w:hAnsi="Calibri" w:cs="Calibri"/>
          <w:sz w:val="21"/>
          <w:szCs w:val="21"/>
          <w:lang w:val="es-PE"/>
        </w:rPr>
        <w:t xml:space="preserve"> la ayuda humanitaria. Los </w:t>
      </w:r>
      <w:r w:rsidRPr="00DD37B4">
        <w:rPr>
          <w:rFonts w:ascii="Calibri" w:hAnsi="Calibri" w:cs="Calibri"/>
          <w:sz w:val="21"/>
          <w:szCs w:val="21"/>
          <w:lang w:val="es-PE"/>
        </w:rPr>
        <w:t xml:space="preserve">principios </w:t>
      </w:r>
      <w:r w:rsidRPr="001D2DAB">
        <w:rPr>
          <w:rFonts w:ascii="Calibri" w:hAnsi="Calibri" w:cs="Calibri"/>
          <w:sz w:val="21"/>
          <w:szCs w:val="21"/>
          <w:lang w:val="es-PE"/>
        </w:rPr>
        <w:t>clave</w:t>
      </w:r>
      <w:r>
        <w:rPr>
          <w:rFonts w:ascii="Calibri" w:hAnsi="Calibri" w:cs="Calibri"/>
          <w:sz w:val="21"/>
          <w:szCs w:val="21"/>
          <w:lang w:val="es-PE"/>
        </w:rPr>
        <w:t xml:space="preserve"> que deben ser tomados en cuenta en todas las actividades humanitarias son</w:t>
      </w:r>
      <w:r w:rsidRPr="00DA3534">
        <w:rPr>
          <w:rStyle w:val="FootnoteReference"/>
          <w:rFonts w:ascii="Calibri" w:hAnsi="Calibri" w:cs="Calibri"/>
          <w:sz w:val="21"/>
          <w:szCs w:val="21"/>
        </w:rPr>
        <w:footnoteReference w:id="2"/>
      </w:r>
      <w:r w:rsidRPr="00D741A3">
        <w:rPr>
          <w:rFonts w:ascii="Calibri" w:hAnsi="Calibri" w:cs="Calibri"/>
          <w:sz w:val="21"/>
          <w:szCs w:val="21"/>
          <w:lang w:val="es-PE"/>
        </w:rPr>
        <w:t>:</w:t>
      </w:r>
    </w:p>
    <w:p w14:paraId="3F07828C" w14:textId="77777777" w:rsidR="00986332" w:rsidRPr="00D741A3" w:rsidRDefault="00986332" w:rsidP="009863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val="es-PE"/>
        </w:rPr>
      </w:pPr>
      <w:r w:rsidRPr="00D741A3">
        <w:rPr>
          <w:rFonts w:ascii="Calibri" w:hAnsi="Calibri" w:cs="Calibri"/>
          <w:b/>
          <w:sz w:val="21"/>
          <w:szCs w:val="21"/>
          <w:lang w:val="es-PE"/>
        </w:rPr>
        <w:t xml:space="preserve">Priorizar la seguridad y la dignidad y evitar causar daño: </w:t>
      </w:r>
      <w:r w:rsidR="00015CC6">
        <w:rPr>
          <w:rFonts w:ascii="Calibri" w:hAnsi="Calibri" w:cs="Calibri"/>
          <w:sz w:val="21"/>
          <w:szCs w:val="21"/>
          <w:lang w:val="es-PE"/>
        </w:rPr>
        <w:t>E</w:t>
      </w:r>
      <w:r w:rsidRPr="00D741A3">
        <w:rPr>
          <w:rFonts w:ascii="Calibri" w:hAnsi="Calibri" w:cs="Calibri"/>
          <w:sz w:val="21"/>
          <w:szCs w:val="21"/>
          <w:lang w:val="es-PE"/>
        </w:rPr>
        <w:t>vitar</w:t>
      </w:r>
      <w:r w:rsidR="00291A4A">
        <w:rPr>
          <w:rFonts w:ascii="Calibri" w:hAnsi="Calibri" w:cs="Calibri"/>
          <w:sz w:val="21"/>
          <w:szCs w:val="21"/>
          <w:lang w:val="es-PE"/>
        </w:rPr>
        <w:t xml:space="preserve"> y minimizar todo  lo </w:t>
      </w:r>
      <w:r>
        <w:rPr>
          <w:rFonts w:ascii="Calibri" w:hAnsi="Calibri" w:cs="Calibri"/>
          <w:sz w:val="21"/>
          <w:szCs w:val="21"/>
          <w:lang w:val="es-PE"/>
        </w:rPr>
        <w:t>posiblecualquier efecto negativo involuntario en su intervención que pueda aumentar la vulnerabilidad de las personas a los riesgos físicos y psicológicos.</w:t>
      </w:r>
    </w:p>
    <w:p w14:paraId="1E281C30" w14:textId="77777777" w:rsidR="00986332" w:rsidRPr="00D741A3" w:rsidRDefault="004C5993" w:rsidP="00986332">
      <w:pPr>
        <w:pStyle w:val="ListParagraph"/>
        <w:numPr>
          <w:ilvl w:val="0"/>
          <w:numId w:val="1"/>
        </w:numPr>
        <w:shd w:val="clear" w:color="auto" w:fill="FEFFFE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1"/>
          <w:szCs w:val="21"/>
          <w:lang w:val="es-PE"/>
        </w:rPr>
      </w:pPr>
      <w:r>
        <w:rPr>
          <w:rFonts w:ascii="Calibri" w:hAnsi="Calibri" w:cs="Calibri"/>
          <w:b/>
          <w:sz w:val="21"/>
          <w:szCs w:val="21"/>
          <w:lang w:val="es-PE"/>
        </w:rPr>
        <w:t>Acceso significativo</w:t>
      </w:r>
      <w:r w:rsidR="00986332" w:rsidRPr="00D741A3">
        <w:rPr>
          <w:rFonts w:ascii="Calibri" w:hAnsi="Calibri" w:cs="Calibri"/>
          <w:b/>
          <w:sz w:val="21"/>
          <w:szCs w:val="21"/>
          <w:lang w:val="es-PE"/>
        </w:rPr>
        <w:t>:</w:t>
      </w:r>
      <w:r w:rsidR="00015CC6">
        <w:rPr>
          <w:rFonts w:ascii="Calibri" w:eastAsia="Times New Roman" w:hAnsi="Calibri" w:cs="Calibri"/>
          <w:sz w:val="21"/>
          <w:szCs w:val="21"/>
          <w:lang w:val="es-PE"/>
        </w:rPr>
        <w:t xml:space="preserve"> O</w:t>
      </w:r>
      <w:r w:rsidR="00986332" w:rsidRPr="00D741A3">
        <w:rPr>
          <w:rFonts w:ascii="Calibri" w:eastAsia="Times New Roman" w:hAnsi="Calibri" w:cs="Calibri"/>
          <w:sz w:val="21"/>
          <w:szCs w:val="21"/>
          <w:lang w:val="es-PE"/>
        </w:rPr>
        <w:t>rganizar el acceso de las personas a asistencia y serv</w:t>
      </w:r>
      <w:r w:rsidR="00500789">
        <w:rPr>
          <w:rFonts w:ascii="Calibri" w:eastAsia="Times New Roman" w:hAnsi="Calibri" w:cs="Calibri"/>
          <w:sz w:val="21"/>
          <w:szCs w:val="21"/>
          <w:lang w:val="es-PE"/>
        </w:rPr>
        <w:t xml:space="preserve">icios imparciales, </w:t>
      </w:r>
      <w:r w:rsidR="00986332">
        <w:rPr>
          <w:rFonts w:ascii="Calibri" w:eastAsia="Times New Roman" w:hAnsi="Calibri" w:cs="Calibri"/>
          <w:sz w:val="21"/>
          <w:szCs w:val="21"/>
          <w:lang w:val="es-PE"/>
        </w:rPr>
        <w:t>en proporción a sus necesidades y sin ningún tipo de barrera (</w:t>
      </w:r>
      <w:r w:rsidR="00D34060">
        <w:rPr>
          <w:rFonts w:ascii="Calibri" w:eastAsia="Times New Roman" w:hAnsi="Calibri" w:cs="Calibri"/>
          <w:sz w:val="21"/>
          <w:szCs w:val="21"/>
          <w:lang w:val="es-PE"/>
        </w:rPr>
        <w:t>por ej</w:t>
      </w:r>
      <w:r w:rsidR="00984B0B">
        <w:rPr>
          <w:rFonts w:ascii="Calibri" w:eastAsia="Times New Roman" w:hAnsi="Calibri" w:cs="Calibri"/>
          <w:sz w:val="21"/>
          <w:szCs w:val="21"/>
          <w:lang w:val="es-PE"/>
        </w:rPr>
        <w:t>e</w:t>
      </w:r>
      <w:r w:rsidR="00D34060">
        <w:rPr>
          <w:rFonts w:ascii="Calibri" w:eastAsia="Times New Roman" w:hAnsi="Calibri" w:cs="Calibri"/>
          <w:sz w:val="21"/>
          <w:szCs w:val="21"/>
          <w:lang w:val="es-PE"/>
        </w:rPr>
        <w:t>mplo</w:t>
      </w:r>
      <w:r w:rsidR="00986332">
        <w:rPr>
          <w:rFonts w:ascii="Calibri" w:eastAsia="Times New Roman" w:hAnsi="Calibri" w:cs="Calibri"/>
          <w:sz w:val="21"/>
          <w:szCs w:val="21"/>
          <w:lang w:val="es-PE"/>
        </w:rPr>
        <w:t xml:space="preserve">, discriminación). </w:t>
      </w:r>
      <w:r w:rsidR="00743390">
        <w:rPr>
          <w:rFonts w:ascii="Calibri" w:eastAsia="Times New Roman" w:hAnsi="Calibri" w:cs="Calibri"/>
          <w:sz w:val="21"/>
          <w:szCs w:val="21"/>
          <w:lang w:val="es-PE"/>
        </w:rPr>
        <w:t>Prestar</w:t>
      </w:r>
      <w:r w:rsidR="00986332" w:rsidRPr="00D741A3">
        <w:rPr>
          <w:rFonts w:ascii="Calibri" w:eastAsia="Times New Roman" w:hAnsi="Calibri" w:cs="Calibri"/>
          <w:sz w:val="21"/>
          <w:szCs w:val="21"/>
          <w:lang w:val="es-PE"/>
        </w:rPr>
        <w:t xml:space="preserve"> especial atención a personas y grupos que puedan ser particularmente vulnerables o tengan dificultades para accede</w:t>
      </w:r>
      <w:r w:rsidR="00986332">
        <w:rPr>
          <w:rFonts w:ascii="Calibri" w:eastAsia="Times New Roman" w:hAnsi="Calibri" w:cs="Calibri"/>
          <w:sz w:val="21"/>
          <w:szCs w:val="21"/>
          <w:lang w:val="es-PE"/>
        </w:rPr>
        <w:t>r</w:t>
      </w:r>
      <w:r w:rsidR="00986332" w:rsidRPr="00D741A3">
        <w:rPr>
          <w:rFonts w:ascii="Calibri" w:eastAsia="Times New Roman" w:hAnsi="Calibri" w:cs="Calibri"/>
          <w:sz w:val="21"/>
          <w:szCs w:val="21"/>
          <w:lang w:val="es-PE"/>
        </w:rPr>
        <w:t xml:space="preserve"> a </w:t>
      </w:r>
      <w:r w:rsidR="00986332">
        <w:rPr>
          <w:rFonts w:ascii="Calibri" w:eastAsia="Times New Roman" w:hAnsi="Calibri" w:cs="Calibri"/>
          <w:sz w:val="21"/>
          <w:szCs w:val="21"/>
          <w:lang w:val="es-PE"/>
        </w:rPr>
        <w:t>asistencia y servicios.</w:t>
      </w:r>
    </w:p>
    <w:p w14:paraId="03CE236D" w14:textId="77777777" w:rsidR="00986332" w:rsidRDefault="00986332" w:rsidP="00986332">
      <w:pPr>
        <w:pStyle w:val="ListParagraph"/>
        <w:numPr>
          <w:ilvl w:val="0"/>
          <w:numId w:val="1"/>
        </w:numPr>
        <w:shd w:val="clear" w:color="auto" w:fill="FEFFFE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1"/>
          <w:szCs w:val="21"/>
          <w:lang w:val="es-PE"/>
        </w:rPr>
      </w:pPr>
      <w:r w:rsidRPr="009619F2">
        <w:rPr>
          <w:rFonts w:ascii="Calibri" w:hAnsi="Calibri" w:cs="Calibri"/>
          <w:b/>
          <w:sz w:val="21"/>
          <w:szCs w:val="21"/>
          <w:lang w:val="es-PE"/>
        </w:rPr>
        <w:t>Rendi</w:t>
      </w:r>
      <w:r w:rsidR="00411F37">
        <w:rPr>
          <w:rFonts w:ascii="Calibri" w:hAnsi="Calibri" w:cs="Calibri"/>
          <w:b/>
          <w:sz w:val="21"/>
          <w:szCs w:val="21"/>
          <w:lang w:val="es-PE"/>
        </w:rPr>
        <w:t xml:space="preserve">ción de </w:t>
      </w:r>
      <w:r w:rsidRPr="009619F2">
        <w:rPr>
          <w:rFonts w:ascii="Calibri" w:hAnsi="Calibri" w:cs="Calibri"/>
          <w:b/>
          <w:sz w:val="21"/>
          <w:szCs w:val="21"/>
          <w:lang w:val="es-PE"/>
        </w:rPr>
        <w:t>cuentas a los beneficiarios:</w:t>
      </w:r>
      <w:r w:rsidR="00015CC6">
        <w:rPr>
          <w:rFonts w:ascii="Calibri" w:eastAsia="Times New Roman" w:hAnsi="Calibri" w:cs="Calibri"/>
          <w:sz w:val="21"/>
          <w:szCs w:val="21"/>
          <w:lang w:val="es-PE"/>
        </w:rPr>
        <w:t xml:space="preserve"> E</w:t>
      </w:r>
      <w:r w:rsidRPr="009619F2">
        <w:rPr>
          <w:rFonts w:ascii="Calibri" w:eastAsia="Times New Roman" w:hAnsi="Calibri" w:cs="Calibri"/>
          <w:sz w:val="21"/>
          <w:szCs w:val="21"/>
          <w:lang w:val="es-PE"/>
        </w:rPr>
        <w:t>stablecer meca</w:t>
      </w:r>
      <w:r>
        <w:rPr>
          <w:rFonts w:ascii="Calibri" w:eastAsia="Times New Roman" w:hAnsi="Calibri" w:cs="Calibri"/>
          <w:sz w:val="21"/>
          <w:szCs w:val="21"/>
          <w:lang w:val="es-PE"/>
        </w:rPr>
        <w:t>n</w:t>
      </w:r>
      <w:r w:rsidRPr="009619F2">
        <w:rPr>
          <w:rFonts w:ascii="Calibri" w:eastAsia="Times New Roman" w:hAnsi="Calibri" w:cs="Calibri"/>
          <w:sz w:val="21"/>
          <w:szCs w:val="21"/>
          <w:lang w:val="es-PE"/>
        </w:rPr>
        <w:t xml:space="preserve">ismos apropiados a través de los cuales las poblaciones afectadas puedan medir la </w:t>
      </w:r>
      <w:r>
        <w:rPr>
          <w:rFonts w:ascii="Calibri" w:eastAsia="Times New Roman" w:hAnsi="Calibri" w:cs="Calibri"/>
          <w:sz w:val="21"/>
          <w:szCs w:val="21"/>
          <w:lang w:val="es-PE"/>
        </w:rPr>
        <w:t xml:space="preserve">idoneidad de las intervenciones, o </w:t>
      </w:r>
      <w:r w:rsidRPr="00051587">
        <w:rPr>
          <w:rFonts w:ascii="Calibri" w:eastAsia="Times New Roman" w:hAnsi="Calibri" w:cs="Calibri"/>
          <w:sz w:val="21"/>
          <w:szCs w:val="21"/>
          <w:lang w:val="es-PE"/>
        </w:rPr>
        <w:t>abordar</w:t>
      </w:r>
      <w:r>
        <w:rPr>
          <w:rFonts w:ascii="Calibri" w:eastAsia="Times New Roman" w:hAnsi="Calibri" w:cs="Calibri"/>
          <w:sz w:val="21"/>
          <w:szCs w:val="21"/>
          <w:lang w:val="es-PE"/>
        </w:rPr>
        <w:t xml:space="preserve"> preocupaciones y </w:t>
      </w:r>
      <w:r w:rsidR="00500789">
        <w:rPr>
          <w:rFonts w:ascii="Calibri" w:eastAsia="Times New Roman" w:hAnsi="Calibri" w:cs="Calibri"/>
          <w:sz w:val="21"/>
          <w:szCs w:val="21"/>
          <w:lang w:val="es-PE"/>
        </w:rPr>
        <w:t>reclamacione</w:t>
      </w:r>
      <w:r>
        <w:rPr>
          <w:rFonts w:ascii="Calibri" w:eastAsia="Times New Roman" w:hAnsi="Calibri" w:cs="Calibri"/>
          <w:sz w:val="21"/>
          <w:szCs w:val="21"/>
          <w:lang w:val="es-PE"/>
        </w:rPr>
        <w:t>s.</w:t>
      </w:r>
    </w:p>
    <w:p w14:paraId="1631B2BD" w14:textId="77777777" w:rsidR="00986332" w:rsidRPr="009619F2" w:rsidRDefault="00986332" w:rsidP="00986332">
      <w:pPr>
        <w:pStyle w:val="ListParagraph"/>
        <w:numPr>
          <w:ilvl w:val="0"/>
          <w:numId w:val="1"/>
        </w:numPr>
        <w:shd w:val="clear" w:color="auto" w:fill="FEFFFE"/>
        <w:spacing w:before="100" w:beforeAutospacing="1" w:after="100" w:afterAutospacing="1" w:line="240" w:lineRule="auto"/>
        <w:ind w:left="284" w:hanging="284"/>
        <w:jc w:val="both"/>
        <w:rPr>
          <w:rFonts w:ascii="Calibri" w:eastAsia="Times New Roman" w:hAnsi="Calibri" w:cs="Calibri"/>
          <w:sz w:val="21"/>
          <w:szCs w:val="21"/>
          <w:lang w:val="es-PE"/>
        </w:rPr>
      </w:pPr>
      <w:r w:rsidRPr="009619F2">
        <w:rPr>
          <w:rFonts w:ascii="Calibri" w:hAnsi="Calibri" w:cs="Calibri"/>
          <w:b/>
          <w:sz w:val="21"/>
          <w:szCs w:val="21"/>
          <w:lang w:val="es-PE"/>
        </w:rPr>
        <w:t>Participación y empoderamiento:</w:t>
      </w:r>
      <w:r w:rsidR="00015CC6">
        <w:rPr>
          <w:rFonts w:ascii="Calibri" w:eastAsia="Times New Roman" w:hAnsi="Calibri" w:cs="Calibri"/>
          <w:sz w:val="21"/>
          <w:szCs w:val="21"/>
          <w:lang w:val="es-PE"/>
        </w:rPr>
        <w:t xml:space="preserve"> A</w:t>
      </w:r>
      <w:r w:rsidRPr="009619F2">
        <w:rPr>
          <w:rFonts w:ascii="Calibri" w:eastAsia="Times New Roman" w:hAnsi="Calibri" w:cs="Calibri"/>
          <w:sz w:val="21"/>
          <w:szCs w:val="21"/>
          <w:lang w:val="es-PE"/>
        </w:rPr>
        <w:t>poy</w:t>
      </w:r>
      <w:r w:rsidR="007F7D01">
        <w:rPr>
          <w:rFonts w:ascii="Calibri" w:eastAsia="Times New Roman" w:hAnsi="Calibri" w:cs="Calibri"/>
          <w:sz w:val="21"/>
          <w:szCs w:val="21"/>
          <w:lang w:val="es-PE"/>
        </w:rPr>
        <w:t>ar</w:t>
      </w:r>
      <w:r w:rsidR="000C11DD">
        <w:rPr>
          <w:rFonts w:ascii="Calibri" w:eastAsia="Times New Roman" w:hAnsi="Calibri" w:cs="Calibri"/>
          <w:sz w:val="21"/>
          <w:szCs w:val="21"/>
          <w:lang w:val="es-PE"/>
        </w:rPr>
        <w:t xml:space="preserve"> e</w:t>
      </w:r>
      <w:r w:rsidRPr="009619F2">
        <w:rPr>
          <w:rFonts w:ascii="Calibri" w:eastAsia="Times New Roman" w:hAnsi="Calibri" w:cs="Calibri"/>
          <w:sz w:val="21"/>
          <w:szCs w:val="21"/>
          <w:lang w:val="es-PE"/>
        </w:rPr>
        <w:t>l desarrollo de las capacidades de protección personal y ayudar a las personas a recl</w:t>
      </w:r>
      <w:r w:rsidR="00500789">
        <w:rPr>
          <w:rFonts w:ascii="Calibri" w:eastAsia="Times New Roman" w:hAnsi="Calibri" w:cs="Calibri"/>
          <w:sz w:val="21"/>
          <w:szCs w:val="21"/>
          <w:lang w:val="es-PE"/>
        </w:rPr>
        <w:t>amar sus derechos, incluyendo –aunque no exclusivamente</w:t>
      </w:r>
      <w:r w:rsidRPr="009619F2">
        <w:rPr>
          <w:rFonts w:ascii="Calibri" w:eastAsia="Times New Roman" w:hAnsi="Calibri" w:cs="Calibri"/>
          <w:sz w:val="21"/>
          <w:szCs w:val="21"/>
          <w:lang w:val="es-PE"/>
        </w:rPr>
        <w:t xml:space="preserve">– los derechos a </w:t>
      </w:r>
      <w:r>
        <w:rPr>
          <w:rFonts w:ascii="Calibri" w:eastAsia="Times New Roman" w:hAnsi="Calibri" w:cs="Calibri"/>
          <w:sz w:val="21"/>
          <w:szCs w:val="21"/>
          <w:lang w:val="es-PE"/>
        </w:rPr>
        <w:t>refugio, alimentación, agua y saneamiento, salud y educación.</w:t>
      </w:r>
    </w:p>
    <w:p w14:paraId="0BA2C199" w14:textId="77777777" w:rsidR="00986332" w:rsidRPr="009619F2" w:rsidRDefault="00986332" w:rsidP="00986332">
      <w:pPr>
        <w:spacing w:after="0" w:line="240" w:lineRule="auto"/>
        <w:jc w:val="both"/>
        <w:rPr>
          <w:rStyle w:val="IntenseEmphasis"/>
          <w:rFonts w:cstheme="minorHAnsi"/>
          <w:sz w:val="24"/>
          <w:szCs w:val="24"/>
          <w:lang w:val="es-PE"/>
        </w:rPr>
      </w:pPr>
      <w:r w:rsidRPr="009619F2">
        <w:rPr>
          <w:rStyle w:val="IntenseEmphasis"/>
          <w:rFonts w:cstheme="minorHAnsi"/>
          <w:sz w:val="24"/>
          <w:szCs w:val="24"/>
          <w:lang w:val="es-PE"/>
        </w:rPr>
        <w:t>¿Cómo se relaciona la transversalización de la p</w:t>
      </w:r>
      <w:r>
        <w:rPr>
          <w:rStyle w:val="IntenseEmphasis"/>
          <w:rFonts w:cstheme="minorHAnsi"/>
          <w:sz w:val="24"/>
          <w:szCs w:val="24"/>
          <w:lang w:val="es-PE"/>
        </w:rPr>
        <w:t>rotección con la protección?</w:t>
      </w:r>
    </w:p>
    <w:p w14:paraId="7DE9C240" w14:textId="77777777" w:rsidR="00986332" w:rsidRDefault="00986332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  <w:r w:rsidRPr="006A5BA3">
        <w:rPr>
          <w:rFonts w:ascii="Calibri" w:hAnsi="Calibri" w:cs="Calibri"/>
          <w:b/>
          <w:sz w:val="21"/>
          <w:szCs w:val="21"/>
          <w:lang w:val="es-PE"/>
        </w:rPr>
        <w:t>“Transversalización de la protección”</w:t>
      </w:r>
      <w:r w:rsidR="00500789">
        <w:rPr>
          <w:rFonts w:ascii="Calibri" w:hAnsi="Calibri" w:cs="Calibri"/>
          <w:sz w:val="21"/>
          <w:szCs w:val="21"/>
          <w:lang w:val="es-PE"/>
        </w:rPr>
        <w:t xml:space="preserve">se refiere al </w:t>
      </w:r>
      <w:r w:rsidRPr="006A5BA3">
        <w:rPr>
          <w:rFonts w:ascii="Calibri" w:hAnsi="Calibri" w:cs="Calibri"/>
          <w:sz w:val="21"/>
          <w:szCs w:val="21"/>
          <w:lang w:val="es-PE"/>
        </w:rPr>
        <w:t>enfoque que aplica</w:t>
      </w:r>
      <w:r>
        <w:rPr>
          <w:rFonts w:ascii="Calibri" w:hAnsi="Calibri" w:cs="Calibri"/>
          <w:sz w:val="21"/>
          <w:szCs w:val="21"/>
          <w:lang w:val="es-PE"/>
        </w:rPr>
        <w:t>mos en todos nuestros programas</w:t>
      </w:r>
      <w:r w:rsidRPr="006A5BA3">
        <w:rPr>
          <w:rFonts w:ascii="Calibri" w:hAnsi="Calibri" w:cs="Calibri"/>
          <w:sz w:val="21"/>
          <w:szCs w:val="21"/>
          <w:lang w:val="es-PE"/>
        </w:rPr>
        <w:t xml:space="preserve">.No significa cambiar </w:t>
      </w:r>
      <w:r w:rsidR="00500789">
        <w:rPr>
          <w:rFonts w:ascii="Calibri" w:hAnsi="Calibri" w:cs="Calibri"/>
          <w:sz w:val="21"/>
          <w:szCs w:val="21"/>
          <w:lang w:val="es-PE"/>
        </w:rPr>
        <w:t>lo</w:t>
      </w:r>
      <w:r w:rsidRPr="006A5BA3">
        <w:rPr>
          <w:rFonts w:ascii="Calibri" w:hAnsi="Calibri" w:cs="Calibri"/>
          <w:sz w:val="21"/>
          <w:szCs w:val="21"/>
          <w:lang w:val="es-PE"/>
        </w:rPr>
        <w:t>QU</w:t>
      </w:r>
      <w:r>
        <w:rPr>
          <w:rFonts w:ascii="Calibri" w:hAnsi="Calibri" w:cs="Calibri"/>
          <w:sz w:val="21"/>
          <w:szCs w:val="21"/>
          <w:lang w:val="es-PE"/>
        </w:rPr>
        <w:t>E</w:t>
      </w:r>
      <w:r w:rsidRPr="006A5BA3">
        <w:rPr>
          <w:rFonts w:ascii="Calibri" w:hAnsi="Calibri" w:cs="Calibri"/>
          <w:sz w:val="21"/>
          <w:szCs w:val="21"/>
          <w:lang w:val="es-PE"/>
        </w:rPr>
        <w:t xml:space="preserve"> hac</w:t>
      </w:r>
      <w:r>
        <w:rPr>
          <w:rFonts w:ascii="Calibri" w:hAnsi="Calibri" w:cs="Calibri"/>
          <w:sz w:val="21"/>
          <w:szCs w:val="21"/>
          <w:lang w:val="es-PE"/>
        </w:rPr>
        <w:t xml:space="preserve">emos, sino que </w:t>
      </w:r>
      <w:r>
        <w:rPr>
          <w:rFonts w:ascii="Calibri" w:hAnsi="Calibri" w:cs="Calibri"/>
          <w:sz w:val="21"/>
          <w:szCs w:val="21"/>
          <w:lang w:val="es-PE"/>
        </w:rPr>
        <w:t xml:space="preserve">debemos pensar en CÓMO se brinda la asistencia. </w:t>
      </w:r>
      <w:r w:rsidRPr="006A5BA3">
        <w:rPr>
          <w:rFonts w:ascii="Calibri" w:hAnsi="Calibri" w:cs="Calibri"/>
          <w:sz w:val="21"/>
          <w:szCs w:val="21"/>
          <w:lang w:val="es-PE"/>
        </w:rPr>
        <w:t>Es esencialmente sobre programación segura, de buena calidad. Es responsabilidad de todos los actor</w:t>
      </w:r>
      <w:r>
        <w:rPr>
          <w:rFonts w:ascii="Calibri" w:hAnsi="Calibri" w:cs="Calibri"/>
          <w:sz w:val="21"/>
          <w:szCs w:val="21"/>
          <w:lang w:val="es-PE"/>
        </w:rPr>
        <w:t>e</w:t>
      </w:r>
      <w:r w:rsidRPr="006A5BA3">
        <w:rPr>
          <w:rFonts w:ascii="Calibri" w:hAnsi="Calibri" w:cs="Calibri"/>
          <w:sz w:val="21"/>
          <w:szCs w:val="21"/>
          <w:lang w:val="es-PE"/>
        </w:rPr>
        <w:t xml:space="preserve">s </w:t>
      </w:r>
      <w:r w:rsidR="00A6378D">
        <w:rPr>
          <w:rFonts w:ascii="Calibri" w:hAnsi="Calibri" w:cs="Calibri"/>
          <w:sz w:val="21"/>
          <w:szCs w:val="21"/>
          <w:lang w:val="es-PE"/>
        </w:rPr>
        <w:t>humanitario</w:t>
      </w:r>
      <w:r w:rsidRPr="006A5BA3">
        <w:rPr>
          <w:rFonts w:ascii="Calibri" w:hAnsi="Calibri" w:cs="Calibri"/>
          <w:sz w:val="21"/>
          <w:szCs w:val="21"/>
          <w:lang w:val="es-PE"/>
        </w:rPr>
        <w:t xml:space="preserve">s </w:t>
      </w:r>
      <w:r>
        <w:rPr>
          <w:rFonts w:ascii="Calibri" w:hAnsi="Calibri" w:cs="Calibri"/>
          <w:sz w:val="21"/>
          <w:szCs w:val="21"/>
          <w:lang w:val="es-PE"/>
        </w:rPr>
        <w:t xml:space="preserve">y debe ser aplicado a todos los proyectos </w:t>
      </w:r>
      <w:r w:rsidRPr="009001A1">
        <w:rPr>
          <w:rFonts w:ascii="Calibri" w:hAnsi="Calibri" w:cs="Calibri"/>
          <w:sz w:val="21"/>
          <w:szCs w:val="21"/>
          <w:lang w:val="es-PE"/>
        </w:rPr>
        <w:t>(verde</w:t>
      </w:r>
      <w:r>
        <w:rPr>
          <w:rStyle w:val="FootnoteReference"/>
          <w:rFonts w:ascii="Calibri" w:hAnsi="Calibri" w:cs="Calibri"/>
          <w:sz w:val="21"/>
          <w:szCs w:val="21"/>
        </w:rPr>
        <w:footnoteReference w:id="3"/>
      </w:r>
      <w:r w:rsidRPr="009001A1">
        <w:rPr>
          <w:rFonts w:ascii="Calibri" w:hAnsi="Calibri" w:cs="Calibri"/>
          <w:sz w:val="21"/>
          <w:szCs w:val="21"/>
          <w:lang w:val="es-PE"/>
        </w:rPr>
        <w:t xml:space="preserve">). </w:t>
      </w:r>
      <w:r>
        <w:rPr>
          <w:rFonts w:ascii="Calibri" w:hAnsi="Calibri" w:cs="Calibri"/>
          <w:sz w:val="21"/>
          <w:szCs w:val="21"/>
          <w:lang w:val="es-PE"/>
        </w:rPr>
        <w:t xml:space="preserve">Conforma la base del triángulo porque proporciona el fundamento para todo el otro trabajo de protección, es decir la integración y los proyectos independientes siempre deben incorporar los </w:t>
      </w:r>
      <w:r w:rsidRPr="00DD37B4">
        <w:rPr>
          <w:rFonts w:ascii="Calibri" w:hAnsi="Calibri" w:cs="Calibri"/>
          <w:sz w:val="21"/>
          <w:szCs w:val="21"/>
          <w:lang w:val="es-PE"/>
        </w:rPr>
        <w:t xml:space="preserve">principios </w:t>
      </w:r>
      <w:r w:rsidRPr="001D2DAB">
        <w:rPr>
          <w:rFonts w:ascii="Calibri" w:hAnsi="Calibri" w:cs="Calibri"/>
          <w:sz w:val="21"/>
          <w:szCs w:val="21"/>
          <w:lang w:val="es-PE"/>
        </w:rPr>
        <w:t>clave</w:t>
      </w:r>
      <w:r>
        <w:rPr>
          <w:rFonts w:ascii="Calibri" w:hAnsi="Calibri" w:cs="Calibri"/>
          <w:sz w:val="21"/>
          <w:szCs w:val="21"/>
          <w:lang w:val="es-PE"/>
        </w:rPr>
        <w:t xml:space="preserve"> y los </w:t>
      </w:r>
      <w:r w:rsidRPr="00110D1F">
        <w:rPr>
          <w:rFonts w:ascii="Calibri" w:hAnsi="Calibri" w:cs="Calibri"/>
          <w:sz w:val="21"/>
          <w:szCs w:val="21"/>
          <w:lang w:val="es-PE"/>
        </w:rPr>
        <w:t xml:space="preserve">componentes </w:t>
      </w:r>
      <w:r w:rsidRPr="00A022C4">
        <w:rPr>
          <w:rFonts w:ascii="Calibri" w:hAnsi="Calibri" w:cs="Calibri"/>
          <w:sz w:val="21"/>
          <w:szCs w:val="21"/>
          <w:lang w:val="es-PE"/>
        </w:rPr>
        <w:t>centrales</w:t>
      </w:r>
      <w:r>
        <w:rPr>
          <w:rFonts w:ascii="Calibri" w:hAnsi="Calibri" w:cs="Calibri"/>
          <w:sz w:val="21"/>
          <w:szCs w:val="21"/>
          <w:lang w:val="es-PE"/>
        </w:rPr>
        <w:t>de la transversalización de la protección.</w:t>
      </w:r>
    </w:p>
    <w:p w14:paraId="0BCE0FE2" w14:textId="77777777" w:rsidR="002E29E2" w:rsidRPr="009001A1" w:rsidRDefault="002E29E2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7B4403AD" w14:textId="77777777" w:rsidR="00986332" w:rsidRPr="00DA3732" w:rsidRDefault="00986332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  <w:r w:rsidRPr="009001A1">
        <w:rPr>
          <w:rFonts w:ascii="Calibri" w:hAnsi="Calibri" w:cs="Calibri"/>
          <w:sz w:val="21"/>
          <w:szCs w:val="21"/>
          <w:lang w:val="es-PE"/>
        </w:rPr>
        <w:t>“</w:t>
      </w:r>
      <w:r w:rsidRPr="009001A1">
        <w:rPr>
          <w:rFonts w:ascii="Calibri" w:hAnsi="Calibri" w:cs="Calibri"/>
          <w:b/>
          <w:sz w:val="21"/>
          <w:szCs w:val="21"/>
          <w:lang w:val="es-PE"/>
        </w:rPr>
        <w:t xml:space="preserve">Integración de la protección” </w:t>
      </w:r>
      <w:r w:rsidRPr="009001A1">
        <w:rPr>
          <w:rFonts w:ascii="Calibri" w:hAnsi="Calibri" w:cs="Calibri"/>
          <w:sz w:val="21"/>
          <w:szCs w:val="21"/>
          <w:lang w:val="es-PE"/>
        </w:rPr>
        <w:t>se refiere a</w:t>
      </w:r>
      <w:r w:rsidR="001A664D">
        <w:rPr>
          <w:rFonts w:ascii="Calibri" w:hAnsi="Calibri" w:cs="Calibri"/>
          <w:sz w:val="21"/>
          <w:szCs w:val="21"/>
          <w:lang w:val="es-PE"/>
        </w:rPr>
        <w:t xml:space="preserve"> proyectos de asistencia (tales como agua, saneamiento </w:t>
      </w:r>
      <w:r>
        <w:rPr>
          <w:rFonts w:ascii="Calibri" w:hAnsi="Calibri" w:cs="Calibri"/>
          <w:sz w:val="21"/>
          <w:szCs w:val="21"/>
          <w:lang w:val="es-PE"/>
        </w:rPr>
        <w:t>e higiene –WASH</w:t>
      </w:r>
      <w:r w:rsidR="00A6378D">
        <w:rPr>
          <w:rFonts w:ascii="Calibri" w:hAnsi="Calibri" w:cs="Calibri"/>
          <w:sz w:val="21"/>
          <w:szCs w:val="21"/>
          <w:lang w:val="es-PE"/>
        </w:rPr>
        <w:t>–</w:t>
      </w:r>
      <w:r>
        <w:rPr>
          <w:rFonts w:ascii="Calibri" w:hAnsi="Calibri" w:cs="Calibri"/>
          <w:sz w:val="21"/>
          <w:szCs w:val="21"/>
          <w:lang w:val="es-PE"/>
        </w:rPr>
        <w:t xml:space="preserve"> o refugio) que integran actividades específic</w:t>
      </w:r>
      <w:r w:rsidR="001A664D">
        <w:rPr>
          <w:rFonts w:ascii="Calibri" w:hAnsi="Calibri" w:cs="Calibri"/>
          <w:sz w:val="21"/>
          <w:szCs w:val="21"/>
          <w:lang w:val="es-PE"/>
        </w:rPr>
        <w:t>as de protección. El objetivo general no tendría que</w:t>
      </w:r>
      <w:r>
        <w:rPr>
          <w:rFonts w:ascii="Calibri" w:hAnsi="Calibri" w:cs="Calibri"/>
          <w:sz w:val="21"/>
          <w:szCs w:val="21"/>
          <w:lang w:val="es-PE"/>
        </w:rPr>
        <w:t xml:space="preserve"> estar </w:t>
      </w:r>
      <w:r w:rsidR="00C6704D">
        <w:rPr>
          <w:rFonts w:ascii="Calibri" w:hAnsi="Calibri" w:cs="Calibri"/>
          <w:sz w:val="21"/>
          <w:szCs w:val="21"/>
          <w:lang w:val="es-PE"/>
        </w:rPr>
        <w:t xml:space="preserve">comúnmente </w:t>
      </w:r>
      <w:r>
        <w:rPr>
          <w:rFonts w:ascii="Calibri" w:hAnsi="Calibri" w:cs="Calibri"/>
          <w:sz w:val="21"/>
          <w:szCs w:val="21"/>
          <w:lang w:val="es-PE"/>
        </w:rPr>
        <w:t>rela</w:t>
      </w:r>
      <w:r w:rsidR="001647BC">
        <w:rPr>
          <w:rFonts w:ascii="Calibri" w:hAnsi="Calibri" w:cs="Calibri"/>
          <w:sz w:val="21"/>
          <w:szCs w:val="21"/>
          <w:lang w:val="es-PE"/>
        </w:rPr>
        <w:t>cionado con la protección. E</w:t>
      </w:r>
      <w:r>
        <w:rPr>
          <w:rFonts w:ascii="Calibri" w:hAnsi="Calibri" w:cs="Calibri"/>
          <w:sz w:val="21"/>
          <w:szCs w:val="21"/>
          <w:lang w:val="es-PE"/>
        </w:rPr>
        <w:t xml:space="preserve">jemplos </w:t>
      </w:r>
      <w:r w:rsidR="001647BC">
        <w:rPr>
          <w:rFonts w:ascii="Calibri" w:hAnsi="Calibri" w:cs="Calibri"/>
          <w:sz w:val="21"/>
          <w:szCs w:val="21"/>
          <w:lang w:val="es-PE"/>
        </w:rPr>
        <w:t xml:space="preserve">de esto </w:t>
      </w:r>
      <w:r>
        <w:rPr>
          <w:rFonts w:ascii="Calibri" w:hAnsi="Calibri" w:cs="Calibri"/>
          <w:sz w:val="21"/>
          <w:szCs w:val="21"/>
          <w:lang w:val="es-PE"/>
        </w:rPr>
        <w:t>incluyen monitorear e informar sobre las amenazas a la protección en un programa de distribución de alimentos, o prop</w:t>
      </w:r>
      <w:r w:rsidR="001647BC">
        <w:rPr>
          <w:rFonts w:ascii="Calibri" w:hAnsi="Calibri" w:cs="Calibri"/>
          <w:sz w:val="21"/>
          <w:szCs w:val="21"/>
          <w:lang w:val="es-PE"/>
        </w:rPr>
        <w:t xml:space="preserve">orcionar capacitación sobre </w:t>
      </w:r>
      <w:r>
        <w:rPr>
          <w:rFonts w:ascii="Calibri" w:hAnsi="Calibri" w:cs="Calibri"/>
          <w:sz w:val="21"/>
          <w:szCs w:val="21"/>
          <w:lang w:val="es-PE"/>
        </w:rPr>
        <w:t>derechos en un proyecto de refugio. Se requieren algunos conocimientos y habilidades específicas sobre protección para llevar a cabo esas actividades que comprenden a un pequeño porcentaje de p</w:t>
      </w:r>
      <w:r w:rsidR="005049C4">
        <w:rPr>
          <w:rFonts w:ascii="Calibri" w:hAnsi="Calibri" w:cs="Calibri"/>
          <w:sz w:val="21"/>
          <w:szCs w:val="21"/>
          <w:lang w:val="es-PE"/>
        </w:rPr>
        <w:t>royectos humanitarios más que</w:t>
      </w:r>
      <w:r w:rsidR="006F46E1">
        <w:rPr>
          <w:rFonts w:ascii="Calibri" w:hAnsi="Calibri" w:cs="Calibri"/>
          <w:sz w:val="21"/>
          <w:szCs w:val="21"/>
          <w:lang w:val="es-PE"/>
        </w:rPr>
        <w:t xml:space="preserve">a la </w:t>
      </w:r>
      <w:r>
        <w:rPr>
          <w:rFonts w:ascii="Calibri" w:hAnsi="Calibri" w:cs="Calibri"/>
          <w:sz w:val="21"/>
          <w:szCs w:val="21"/>
          <w:lang w:val="es-PE"/>
        </w:rPr>
        <w:t xml:space="preserve">transversalización de la protección </w:t>
      </w:r>
      <w:r w:rsidR="006F46E1">
        <w:rPr>
          <w:rFonts w:ascii="Calibri" w:hAnsi="Calibri" w:cs="Calibri"/>
          <w:sz w:val="21"/>
          <w:szCs w:val="21"/>
          <w:lang w:val="es-PE"/>
        </w:rPr>
        <w:t xml:space="preserve">en sí </w:t>
      </w:r>
      <w:r>
        <w:rPr>
          <w:rFonts w:ascii="Calibri" w:hAnsi="Calibri" w:cs="Calibri"/>
          <w:sz w:val="21"/>
          <w:szCs w:val="21"/>
          <w:lang w:val="es-PE"/>
        </w:rPr>
        <w:t>(amarillo).</w:t>
      </w:r>
    </w:p>
    <w:p w14:paraId="7B4DF4FC" w14:textId="77777777" w:rsidR="00986332" w:rsidRPr="00DA3732" w:rsidRDefault="00986332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78BC7289" w14:textId="77777777" w:rsidR="00146FB4" w:rsidRDefault="00F442F5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  <w:r>
        <w:rPr>
          <w:rFonts w:ascii="Calibri" w:hAnsi="Calibri" w:cs="Calibri"/>
          <w:b/>
          <w:noProof/>
          <w:sz w:val="21"/>
          <w:szCs w:val="21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5D9B9AA3" wp14:editId="3588469E">
            <wp:simplePos x="0" y="0"/>
            <wp:positionH relativeFrom="column">
              <wp:posOffset>1494790</wp:posOffset>
            </wp:positionH>
            <wp:positionV relativeFrom="paragraph">
              <wp:posOffset>1026795</wp:posOffset>
            </wp:positionV>
            <wp:extent cx="2259330" cy="1569720"/>
            <wp:effectExtent l="0" t="0" r="762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6332" w:rsidRPr="00E865BB">
        <w:rPr>
          <w:rFonts w:ascii="Calibri" w:hAnsi="Calibri" w:cs="Calibri"/>
          <w:b/>
          <w:sz w:val="21"/>
          <w:szCs w:val="21"/>
          <w:lang w:val="es-PE"/>
        </w:rPr>
        <w:t xml:space="preserve"> “Protección </w:t>
      </w:r>
      <w:r w:rsidR="00A57913">
        <w:rPr>
          <w:rFonts w:ascii="Calibri" w:hAnsi="Calibri" w:cs="Calibri"/>
          <w:b/>
          <w:sz w:val="21"/>
          <w:szCs w:val="21"/>
          <w:lang w:val="es-PE"/>
        </w:rPr>
        <w:t>independiente</w:t>
      </w:r>
      <w:r w:rsidR="00986332" w:rsidRPr="00E865BB">
        <w:rPr>
          <w:rFonts w:ascii="Calibri" w:hAnsi="Calibri" w:cs="Calibri"/>
          <w:b/>
          <w:sz w:val="21"/>
          <w:szCs w:val="21"/>
          <w:lang w:val="es-PE"/>
        </w:rPr>
        <w:t>”</w:t>
      </w:r>
      <w:r w:rsidR="00986332" w:rsidRPr="00E865BB">
        <w:rPr>
          <w:rFonts w:ascii="Calibri" w:hAnsi="Calibri" w:cs="Calibri"/>
          <w:sz w:val="21"/>
          <w:szCs w:val="21"/>
          <w:lang w:val="es-PE"/>
        </w:rPr>
        <w:t xml:space="preserve"> es un sector específico. </w:t>
      </w:r>
      <w:r w:rsidR="00A57913">
        <w:rPr>
          <w:rFonts w:ascii="Calibri" w:hAnsi="Calibri" w:cs="Calibri"/>
          <w:sz w:val="21"/>
          <w:szCs w:val="21"/>
          <w:lang w:val="es-PE"/>
        </w:rPr>
        <w:t xml:space="preserve">Comprende </w:t>
      </w:r>
      <w:r w:rsidR="00986332">
        <w:rPr>
          <w:rFonts w:ascii="Calibri" w:hAnsi="Calibri" w:cs="Calibri"/>
          <w:sz w:val="21"/>
          <w:szCs w:val="21"/>
          <w:lang w:val="es-PE"/>
        </w:rPr>
        <w:t xml:space="preserve">actividades que directamente </w:t>
      </w:r>
      <w:r w:rsidR="00A57913">
        <w:rPr>
          <w:rFonts w:ascii="Calibri" w:hAnsi="Calibri" w:cs="Calibri"/>
          <w:sz w:val="21"/>
          <w:szCs w:val="21"/>
          <w:lang w:val="es-PE"/>
        </w:rPr>
        <w:t>previenen o</w:t>
      </w:r>
      <w:r w:rsidR="00986332">
        <w:rPr>
          <w:rFonts w:ascii="Calibri" w:hAnsi="Calibri" w:cs="Calibri"/>
          <w:sz w:val="21"/>
          <w:szCs w:val="21"/>
          <w:lang w:val="es-PE"/>
        </w:rPr>
        <w:t xml:space="preserve"> responde</w:t>
      </w:r>
      <w:r w:rsidR="00A57913">
        <w:rPr>
          <w:rFonts w:ascii="Calibri" w:hAnsi="Calibri" w:cs="Calibri"/>
          <w:sz w:val="21"/>
          <w:szCs w:val="21"/>
          <w:lang w:val="es-PE"/>
        </w:rPr>
        <w:t>n</w:t>
      </w:r>
      <w:r w:rsidR="00986332">
        <w:rPr>
          <w:rFonts w:ascii="Calibri" w:hAnsi="Calibri" w:cs="Calibri"/>
          <w:sz w:val="21"/>
          <w:szCs w:val="21"/>
          <w:lang w:val="es-PE"/>
        </w:rPr>
        <w:t xml:space="preserve"> a actos de violencia, coerción, discriminación o privación deliberada de servicios. Incluye actividades tales como registro de refugiados o desmovilización de niños soldados. Sólo agencias con experiencia especi</w:t>
      </w:r>
      <w:r w:rsidR="00A57913">
        <w:rPr>
          <w:rFonts w:ascii="Calibri" w:hAnsi="Calibri" w:cs="Calibri"/>
          <w:sz w:val="21"/>
          <w:szCs w:val="21"/>
          <w:lang w:val="es-PE"/>
        </w:rPr>
        <w:t>alizada deben llevar a cabo dicha</w:t>
      </w:r>
      <w:r w:rsidR="00986332">
        <w:rPr>
          <w:rFonts w:ascii="Calibri" w:hAnsi="Calibri" w:cs="Calibri"/>
          <w:sz w:val="21"/>
          <w:szCs w:val="21"/>
          <w:lang w:val="es-PE"/>
        </w:rPr>
        <w:t>s actividades, que por lo general comprenden a un pequeño porcentaje del número total de proyectos humanitarios (rojo)</w:t>
      </w:r>
      <w:r w:rsidR="00146FB4">
        <w:rPr>
          <w:rFonts w:ascii="Calibri" w:hAnsi="Calibri" w:cs="Calibri"/>
          <w:sz w:val="21"/>
          <w:szCs w:val="21"/>
          <w:lang w:val="es-PE"/>
        </w:rPr>
        <w:t>.</w:t>
      </w:r>
    </w:p>
    <w:p w14:paraId="7082EFDF" w14:textId="77777777" w:rsidR="00146FB4" w:rsidRDefault="00146FB4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6A3932D3" w14:textId="77777777" w:rsidR="00F442F5" w:rsidRDefault="00F442F5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2F5FA963" w14:textId="77777777" w:rsidR="00F442F5" w:rsidRDefault="00F442F5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03F2018D" w14:textId="77777777" w:rsidR="00F442F5" w:rsidRDefault="00F442F5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763235BE" w14:textId="77777777" w:rsidR="00F442F5" w:rsidRDefault="00F442F5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7F44AAB6" w14:textId="77777777" w:rsidR="00F442F5" w:rsidRDefault="00F442F5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08560F84" w14:textId="77777777" w:rsidR="00F442F5" w:rsidRDefault="00F442F5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689DF71E" w14:textId="77777777" w:rsidR="00F442F5" w:rsidRDefault="00F442F5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0F1E34A2" w14:textId="77777777" w:rsidR="00F442F5" w:rsidRDefault="00F442F5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14D5F290" w14:textId="77777777" w:rsidR="00F442F5" w:rsidRDefault="00F442F5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6EC72B44" w14:textId="77777777" w:rsidR="00146FB4" w:rsidRDefault="00A57913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  <w:r>
        <w:rPr>
          <w:rFonts w:ascii="Calibri" w:hAnsi="Calibri" w:cs="Calibri"/>
          <w:sz w:val="21"/>
          <w:szCs w:val="21"/>
          <w:lang w:val="es-PE"/>
        </w:rPr>
        <w:t>Independiente</w:t>
      </w:r>
      <w:r w:rsidR="00F52470">
        <w:rPr>
          <w:rFonts w:ascii="Calibri" w:hAnsi="Calibri" w:cs="Calibri"/>
          <w:sz w:val="21"/>
          <w:szCs w:val="21"/>
          <w:lang w:val="es-PE"/>
        </w:rPr>
        <w:t>s</w:t>
      </w:r>
    </w:p>
    <w:p w14:paraId="69D3CF4E" w14:textId="77777777" w:rsidR="00A57913" w:rsidRDefault="00A57913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7DC4CA0F" w14:textId="77777777" w:rsidR="00146FB4" w:rsidRDefault="00146FB4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  <w:r>
        <w:rPr>
          <w:rFonts w:ascii="Calibri" w:hAnsi="Calibri" w:cs="Calibri"/>
          <w:sz w:val="21"/>
          <w:szCs w:val="21"/>
          <w:lang w:val="es-PE"/>
        </w:rPr>
        <w:t>Integración de la protección</w:t>
      </w:r>
    </w:p>
    <w:p w14:paraId="0188A2C8" w14:textId="77777777" w:rsidR="00A57913" w:rsidRDefault="00A57913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71D9738C" w14:textId="77777777" w:rsidR="00E43699" w:rsidRDefault="00706750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  <w:r>
        <w:rPr>
          <w:rFonts w:ascii="Calibri" w:hAnsi="Calibri" w:cs="Calibri"/>
          <w:noProof/>
          <w:sz w:val="21"/>
          <w:szCs w:val="21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809E85A" wp14:editId="3F238D14">
            <wp:simplePos x="0" y="0"/>
            <wp:positionH relativeFrom="margin">
              <wp:align>left</wp:align>
            </wp:positionH>
            <wp:positionV relativeFrom="paragraph">
              <wp:posOffset>141605</wp:posOffset>
            </wp:positionV>
            <wp:extent cx="1716405" cy="2291715"/>
            <wp:effectExtent l="19050" t="0" r="0" b="0"/>
            <wp:wrapTight wrapText="bothSides">
              <wp:wrapPolygon edited="0">
                <wp:start x="-240" y="0"/>
                <wp:lineTo x="-240" y="21367"/>
                <wp:lineTo x="21576" y="21367"/>
                <wp:lineTo x="21576" y="0"/>
                <wp:lineTo x="-240" y="0"/>
              </wp:wrapPolygon>
            </wp:wrapTight>
            <wp:docPr id="1" name="Picture 0" descr="DSCN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8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FB4" w:rsidRPr="00110D1F">
        <w:rPr>
          <w:rFonts w:ascii="Calibri" w:hAnsi="Calibri" w:cs="Calibri"/>
          <w:sz w:val="21"/>
          <w:szCs w:val="21"/>
          <w:lang w:val="es-PE"/>
        </w:rPr>
        <w:t xml:space="preserve">Componentes centrales </w:t>
      </w:r>
      <w:r w:rsidR="00146FB4">
        <w:rPr>
          <w:rFonts w:ascii="Calibri" w:hAnsi="Calibri" w:cs="Calibri"/>
          <w:sz w:val="21"/>
          <w:szCs w:val="21"/>
          <w:lang w:val="es-PE"/>
        </w:rPr>
        <w:t xml:space="preserve">de la </w:t>
      </w:r>
    </w:p>
    <w:p w14:paraId="3E32B819" w14:textId="77777777" w:rsidR="00146FB4" w:rsidRPr="00E43699" w:rsidRDefault="00F442F5" w:rsidP="00986332">
      <w:pPr>
        <w:spacing w:after="0" w:line="240" w:lineRule="auto"/>
        <w:jc w:val="both"/>
        <w:rPr>
          <w:rFonts w:ascii="Calibri" w:hAnsi="Calibri" w:cs="Calibri"/>
          <w:b/>
          <w:sz w:val="21"/>
          <w:szCs w:val="21"/>
          <w:lang w:val="es-PE"/>
        </w:rPr>
      </w:pPr>
      <w:r w:rsidRPr="00E43699">
        <w:rPr>
          <w:rFonts w:ascii="Calibri" w:hAnsi="Calibri" w:cs="Calibri"/>
          <w:b/>
          <w:sz w:val="21"/>
          <w:szCs w:val="21"/>
          <w:lang w:val="es-PE"/>
        </w:rPr>
        <w:t>t</w:t>
      </w:r>
      <w:r w:rsidR="00146FB4" w:rsidRPr="00E43699">
        <w:rPr>
          <w:rFonts w:ascii="Calibri" w:hAnsi="Calibri" w:cs="Calibri"/>
          <w:b/>
          <w:sz w:val="21"/>
          <w:szCs w:val="21"/>
          <w:lang w:val="es-PE"/>
        </w:rPr>
        <w:t>ransversalización de la protección</w:t>
      </w:r>
    </w:p>
    <w:p w14:paraId="3ACD6E39" w14:textId="77777777" w:rsidR="00A57913" w:rsidRDefault="00A57913" w:rsidP="001B6667">
      <w:pPr>
        <w:spacing w:after="0" w:line="240" w:lineRule="auto"/>
        <w:rPr>
          <w:rFonts w:ascii="Calibri" w:hAnsi="Calibri" w:cs="Calibri"/>
          <w:sz w:val="21"/>
          <w:szCs w:val="21"/>
          <w:lang w:val="es-PE"/>
        </w:rPr>
      </w:pPr>
    </w:p>
    <w:p w14:paraId="760A640F" w14:textId="77777777" w:rsidR="00146FB4" w:rsidRDefault="009C5E4C" w:rsidP="001B6667">
      <w:pPr>
        <w:spacing w:after="0" w:line="240" w:lineRule="auto"/>
        <w:rPr>
          <w:rFonts w:ascii="Calibri" w:hAnsi="Calibri" w:cs="Calibri"/>
          <w:sz w:val="21"/>
          <w:szCs w:val="21"/>
          <w:lang w:val="es-PE"/>
        </w:rPr>
      </w:pPr>
      <w:r>
        <w:rPr>
          <w:rFonts w:ascii="Calibri" w:hAnsi="Calibri" w:cs="Calibri"/>
          <w:sz w:val="21"/>
          <w:szCs w:val="21"/>
          <w:lang w:val="es-PE"/>
        </w:rPr>
        <w:t>Aná</w:t>
      </w:r>
      <w:r w:rsidR="001D62A2">
        <w:rPr>
          <w:rFonts w:ascii="Calibri" w:hAnsi="Calibri" w:cs="Calibri"/>
          <w:sz w:val="21"/>
          <w:szCs w:val="21"/>
          <w:lang w:val="es-PE"/>
        </w:rPr>
        <w:t>lisis/Priorización y n</w:t>
      </w:r>
      <w:r w:rsidR="00146FB4">
        <w:rPr>
          <w:rFonts w:ascii="Calibri" w:hAnsi="Calibri" w:cs="Calibri"/>
          <w:sz w:val="21"/>
          <w:szCs w:val="21"/>
          <w:lang w:val="es-PE"/>
        </w:rPr>
        <w:t>ecesidades diferenciadas/Intercambio de información/Participación de la comunidad/</w:t>
      </w:r>
    </w:p>
    <w:p w14:paraId="07AD8E1C" w14:textId="77777777" w:rsidR="00146FB4" w:rsidRDefault="00146FB4" w:rsidP="001B6667">
      <w:pPr>
        <w:spacing w:after="0" w:line="240" w:lineRule="auto"/>
        <w:rPr>
          <w:rFonts w:ascii="Calibri" w:hAnsi="Calibri" w:cs="Calibri"/>
          <w:color w:val="FF0000"/>
          <w:sz w:val="21"/>
          <w:szCs w:val="21"/>
          <w:lang w:val="es-PE"/>
        </w:rPr>
      </w:pPr>
      <w:r>
        <w:rPr>
          <w:rFonts w:ascii="Calibri" w:hAnsi="Calibri" w:cs="Calibri"/>
          <w:sz w:val="21"/>
          <w:szCs w:val="21"/>
          <w:lang w:val="es-PE"/>
        </w:rPr>
        <w:t>Retroalimentación y</w:t>
      </w:r>
      <w:r w:rsidR="00E765B5">
        <w:rPr>
          <w:rFonts w:ascii="Calibri" w:hAnsi="Calibri" w:cs="Calibri"/>
          <w:sz w:val="21"/>
          <w:szCs w:val="21"/>
          <w:lang w:val="es-PE"/>
        </w:rPr>
        <w:t xml:space="preserve"> manejo de quejas / </w:t>
      </w:r>
      <w:r w:rsidR="001D62A2">
        <w:rPr>
          <w:rFonts w:ascii="Calibri" w:hAnsi="Calibri" w:cs="Calibri"/>
          <w:sz w:val="21"/>
          <w:szCs w:val="21"/>
          <w:lang w:val="es-PE"/>
        </w:rPr>
        <w:t>Conducta del personal/Mapeo y d</w:t>
      </w:r>
      <w:r>
        <w:rPr>
          <w:rFonts w:ascii="Calibri" w:hAnsi="Calibri" w:cs="Calibri"/>
          <w:sz w:val="21"/>
          <w:szCs w:val="21"/>
          <w:lang w:val="es-PE"/>
        </w:rPr>
        <w:t>eri</w:t>
      </w:r>
      <w:r w:rsidR="009C5E4C">
        <w:rPr>
          <w:rFonts w:ascii="Calibri" w:hAnsi="Calibri" w:cs="Calibri"/>
          <w:sz w:val="21"/>
          <w:szCs w:val="21"/>
          <w:lang w:val="es-PE"/>
        </w:rPr>
        <w:t>vación/Coordinación e</w:t>
      </w:r>
      <w:r w:rsidR="001D62A2" w:rsidRPr="00110D1F">
        <w:rPr>
          <w:rFonts w:ascii="Calibri" w:hAnsi="Calibri" w:cs="Calibri"/>
          <w:sz w:val="21"/>
          <w:szCs w:val="21"/>
          <w:lang w:val="es-PE"/>
        </w:rPr>
        <w:t>i</w:t>
      </w:r>
      <w:r w:rsidR="009C5E4C" w:rsidRPr="00110D1F">
        <w:rPr>
          <w:rFonts w:ascii="Calibri" w:hAnsi="Calibri" w:cs="Calibri"/>
          <w:sz w:val="21"/>
          <w:szCs w:val="21"/>
          <w:lang w:val="es-PE"/>
        </w:rPr>
        <w:t>ncidencia</w:t>
      </w:r>
    </w:p>
    <w:p w14:paraId="283188FD" w14:textId="77777777" w:rsidR="00411F37" w:rsidRDefault="00411F37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0F6109F6" w14:textId="77777777" w:rsidR="009C5E4C" w:rsidRDefault="009C5E4C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  <w:r w:rsidRPr="00DD37B4">
        <w:rPr>
          <w:rFonts w:ascii="Calibri" w:hAnsi="Calibri" w:cs="Calibri"/>
          <w:sz w:val="21"/>
          <w:szCs w:val="21"/>
          <w:lang w:val="es-PE"/>
        </w:rPr>
        <w:t>Principio</w:t>
      </w:r>
      <w:r w:rsidRPr="001D2DAB">
        <w:rPr>
          <w:rFonts w:ascii="Calibri" w:hAnsi="Calibri" w:cs="Calibri"/>
          <w:sz w:val="21"/>
          <w:szCs w:val="21"/>
          <w:lang w:val="es-PE"/>
        </w:rPr>
        <w:t>s clave</w:t>
      </w:r>
    </w:p>
    <w:p w14:paraId="18C7D0C0" w14:textId="77777777" w:rsidR="00411F37" w:rsidRDefault="00411F37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44A019EF" w14:textId="48388513" w:rsidR="009C5E4C" w:rsidRPr="00E43699" w:rsidRDefault="00617805" w:rsidP="00986332">
      <w:pPr>
        <w:spacing w:after="0" w:line="240" w:lineRule="auto"/>
        <w:jc w:val="both"/>
        <w:rPr>
          <w:rFonts w:ascii="Calibri" w:hAnsi="Calibri" w:cs="Calibri"/>
          <w:b/>
          <w:sz w:val="21"/>
          <w:szCs w:val="21"/>
          <w:lang w:val="es-PE"/>
        </w:rPr>
      </w:pPr>
      <w:r>
        <w:rPr>
          <w:rFonts w:ascii="Calibri" w:hAnsi="Calibri" w:cs="Calibri"/>
          <w:b/>
          <w:bCs/>
          <w:iCs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7FD93" wp14:editId="08949C30">
                <wp:simplePos x="0" y="0"/>
                <wp:positionH relativeFrom="margin">
                  <wp:posOffset>-100965</wp:posOffset>
                </wp:positionH>
                <wp:positionV relativeFrom="paragraph">
                  <wp:posOffset>483235</wp:posOffset>
                </wp:positionV>
                <wp:extent cx="2750820" cy="2368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D4EF6" w14:textId="77777777" w:rsidR="0018247C" w:rsidRPr="00BD0AEF" w:rsidRDefault="00BD0AEF" w:rsidP="00986332">
                            <w:pPr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BD0AEF">
                              <w:rPr>
                                <w:sz w:val="16"/>
                                <w:szCs w:val="16"/>
                                <w:lang w:val="es-PE"/>
                              </w:rPr>
                              <w:t>F</w:t>
                            </w:r>
                            <w:r w:rsidR="00EB0C6F">
                              <w:rPr>
                                <w:sz w:val="16"/>
                                <w:szCs w:val="16"/>
                                <w:lang w:val="es-PE"/>
                              </w:rPr>
                              <w:t>oto: Servicio de asistencia</w:t>
                            </w:r>
                            <w:r w:rsidRPr="00BD0AEF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 en distribución de alimentos.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7F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38.05pt;width:216.6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Ul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szyep2CqwZZeTud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" stroked="f">
                <v:textbox>
                  <w:txbxContent>
                    <w:p w14:paraId="6BBD4EF6" w14:textId="77777777" w:rsidR="0018247C" w:rsidRPr="00BD0AEF" w:rsidRDefault="00BD0AEF" w:rsidP="00986332">
                      <w:pPr>
                        <w:rPr>
                          <w:sz w:val="16"/>
                          <w:szCs w:val="16"/>
                          <w:lang w:val="es-PE"/>
                        </w:rPr>
                      </w:pPr>
                      <w:r w:rsidRPr="00BD0AEF">
                        <w:rPr>
                          <w:sz w:val="16"/>
                          <w:szCs w:val="16"/>
                          <w:lang w:val="es-PE"/>
                        </w:rPr>
                        <w:t>F</w:t>
                      </w:r>
                      <w:r w:rsidR="00EB0C6F">
                        <w:rPr>
                          <w:sz w:val="16"/>
                          <w:szCs w:val="16"/>
                          <w:lang w:val="es-PE"/>
                        </w:rPr>
                        <w:t>oto: Servicio de asistencia</w:t>
                      </w:r>
                      <w:r w:rsidRPr="00BD0AEF">
                        <w:rPr>
                          <w:sz w:val="16"/>
                          <w:szCs w:val="16"/>
                          <w:lang w:val="es-PE"/>
                        </w:rPr>
                        <w:t xml:space="preserve"> en distribución de alimentos.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F37" w:rsidRPr="00E43699">
        <w:rPr>
          <w:rFonts w:ascii="Calibri" w:hAnsi="Calibri" w:cs="Calibri"/>
          <w:b/>
          <w:sz w:val="21"/>
          <w:szCs w:val="21"/>
          <w:lang w:val="es-PE"/>
        </w:rPr>
        <w:t>Seguridad y d</w:t>
      </w:r>
      <w:r w:rsidR="009C5E4C" w:rsidRPr="00E43699">
        <w:rPr>
          <w:rFonts w:ascii="Calibri" w:hAnsi="Calibri" w:cs="Calibri"/>
          <w:b/>
          <w:sz w:val="21"/>
          <w:szCs w:val="21"/>
          <w:lang w:val="es-PE"/>
        </w:rPr>
        <w:t xml:space="preserve">ignidad (no causar daño), Acceso </w:t>
      </w:r>
      <w:r w:rsidR="001D62A2" w:rsidRPr="00E43699">
        <w:rPr>
          <w:rFonts w:ascii="Calibri" w:hAnsi="Calibri" w:cs="Calibri"/>
          <w:b/>
          <w:sz w:val="21"/>
          <w:szCs w:val="21"/>
          <w:lang w:val="es-PE"/>
        </w:rPr>
        <w:t>significativo</w:t>
      </w:r>
      <w:r w:rsidR="00411F37" w:rsidRPr="00E43699">
        <w:rPr>
          <w:rFonts w:ascii="Calibri" w:hAnsi="Calibri" w:cs="Calibri"/>
          <w:b/>
          <w:sz w:val="21"/>
          <w:szCs w:val="21"/>
          <w:lang w:val="es-PE"/>
        </w:rPr>
        <w:t>, Rendición de</w:t>
      </w:r>
      <w:r w:rsidR="009C5E4C" w:rsidRPr="00E43699">
        <w:rPr>
          <w:rFonts w:ascii="Calibri" w:hAnsi="Calibri" w:cs="Calibri"/>
          <w:b/>
          <w:sz w:val="21"/>
          <w:szCs w:val="21"/>
          <w:lang w:val="es-PE"/>
        </w:rPr>
        <w:t xml:space="preserve"> cuentas a los beneficiarios/Participación y empoderamiento</w:t>
      </w:r>
    </w:p>
    <w:p w14:paraId="4D0FCAE7" w14:textId="77777777" w:rsidR="00146FB4" w:rsidRDefault="00146FB4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71E7DB07" w14:textId="77777777" w:rsidR="00146FB4" w:rsidRDefault="00146FB4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66CA96F3" w14:textId="77777777" w:rsidR="00986332" w:rsidRPr="00BC7B3F" w:rsidRDefault="00986332" w:rsidP="00986332">
      <w:pPr>
        <w:spacing w:after="0" w:line="240" w:lineRule="auto"/>
        <w:jc w:val="both"/>
        <w:rPr>
          <w:rStyle w:val="IntenseEmphasis"/>
          <w:rFonts w:cstheme="minorHAnsi"/>
          <w:b w:val="0"/>
          <w:sz w:val="24"/>
          <w:szCs w:val="24"/>
          <w:lang w:val="es-PE"/>
        </w:rPr>
      </w:pPr>
      <w:r w:rsidRPr="00BC7B3F">
        <w:rPr>
          <w:rStyle w:val="IntenseEmphasis"/>
          <w:rFonts w:cstheme="minorHAnsi"/>
          <w:sz w:val="24"/>
          <w:szCs w:val="24"/>
          <w:lang w:val="es-PE"/>
        </w:rPr>
        <w:t>¿Por qué es importante la transversalizaci</w:t>
      </w:r>
      <w:r>
        <w:rPr>
          <w:rStyle w:val="IntenseEmphasis"/>
          <w:rFonts w:cstheme="minorHAnsi"/>
          <w:sz w:val="24"/>
          <w:szCs w:val="24"/>
          <w:lang w:val="es-PE"/>
        </w:rPr>
        <w:t>ón de la protección</w:t>
      </w:r>
      <w:r w:rsidRPr="00BC7B3F">
        <w:rPr>
          <w:rStyle w:val="IntenseEmphasis"/>
          <w:rFonts w:cstheme="minorHAnsi"/>
          <w:sz w:val="24"/>
          <w:szCs w:val="24"/>
          <w:lang w:val="es-PE"/>
        </w:rPr>
        <w:t xml:space="preserve">? </w:t>
      </w:r>
    </w:p>
    <w:p w14:paraId="050DC86A" w14:textId="77777777" w:rsidR="00986332" w:rsidRPr="00BC7B3F" w:rsidRDefault="006D5701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  <w:r>
        <w:rPr>
          <w:rFonts w:ascii="Calibri" w:hAnsi="Calibri" w:cs="Calibri"/>
          <w:sz w:val="21"/>
          <w:szCs w:val="21"/>
          <w:lang w:val="es-PE"/>
        </w:rPr>
        <w:t>La transversaliza</w:t>
      </w:r>
      <w:r w:rsidR="00986332" w:rsidRPr="00BC7B3F">
        <w:rPr>
          <w:rFonts w:ascii="Calibri" w:hAnsi="Calibri" w:cs="Calibri"/>
          <w:sz w:val="21"/>
          <w:szCs w:val="21"/>
          <w:lang w:val="es-PE"/>
        </w:rPr>
        <w:t>ción de la protección puede ayudarnos a mejorar</w:t>
      </w:r>
      <w:r w:rsidR="00986332">
        <w:rPr>
          <w:rFonts w:ascii="Calibri" w:hAnsi="Calibri" w:cs="Calibri"/>
          <w:sz w:val="21"/>
          <w:szCs w:val="21"/>
          <w:lang w:val="es-PE"/>
        </w:rPr>
        <w:t xml:space="preserve"> la calidad de la programación humanitaria al asegurar a la población más vulnerable acceso a la asistencia que sea apropiada y relevante para sus necesidades y entregada en una forma segura y digna.</w:t>
      </w:r>
    </w:p>
    <w:p w14:paraId="7CCE3FB4" w14:textId="77777777" w:rsidR="00986332" w:rsidRPr="00986332" w:rsidRDefault="00986332" w:rsidP="00986332">
      <w:pPr>
        <w:spacing w:after="0"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</w:p>
    <w:p w14:paraId="0F6EDB3F" w14:textId="77777777" w:rsidR="00986332" w:rsidRPr="00BC7B3F" w:rsidRDefault="00986332" w:rsidP="00986332">
      <w:pPr>
        <w:spacing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  <w:r w:rsidRPr="00BC7B3F">
        <w:rPr>
          <w:rFonts w:ascii="Calibri" w:hAnsi="Calibri" w:cs="Calibri"/>
          <w:sz w:val="21"/>
          <w:szCs w:val="21"/>
          <w:lang w:val="es-PE"/>
        </w:rPr>
        <w:t>También tenemos una responsabilidad ética en transversalizar la protecci</w:t>
      </w:r>
      <w:r>
        <w:rPr>
          <w:rFonts w:ascii="Calibri" w:hAnsi="Calibri" w:cs="Calibri"/>
          <w:sz w:val="21"/>
          <w:szCs w:val="21"/>
          <w:lang w:val="es-PE"/>
        </w:rPr>
        <w:t>ón a todos los sectores humanitarios ya que nuestro trabajo siempre tiene implicaciones más allá de las necesidades básicas. Las intervenciones pueden resguardar el bienestar y la dignidad, pero tambiénpueden poner a las per</w:t>
      </w:r>
      <w:r w:rsidR="00FD73DD">
        <w:rPr>
          <w:rFonts w:ascii="Calibri" w:hAnsi="Calibri" w:cs="Calibri"/>
          <w:sz w:val="21"/>
          <w:szCs w:val="21"/>
          <w:lang w:val="es-PE"/>
        </w:rPr>
        <w:t>sonas en</w:t>
      </w:r>
      <w:r w:rsidR="0005795E">
        <w:rPr>
          <w:rFonts w:ascii="Calibri" w:hAnsi="Calibri" w:cs="Calibri"/>
          <w:sz w:val="21"/>
          <w:szCs w:val="21"/>
          <w:lang w:val="es-PE"/>
        </w:rPr>
        <w:t xml:space="preserve"> un mayor riesgo. No aplicar la </w:t>
      </w:r>
      <w:r>
        <w:rPr>
          <w:rFonts w:ascii="Calibri" w:hAnsi="Calibri" w:cs="Calibri"/>
          <w:sz w:val="21"/>
          <w:szCs w:val="21"/>
          <w:lang w:val="es-PE"/>
        </w:rPr>
        <w:t>transversa</w:t>
      </w:r>
      <w:r w:rsidR="00FD73DD">
        <w:rPr>
          <w:rFonts w:ascii="Calibri" w:hAnsi="Calibri" w:cs="Calibri"/>
          <w:sz w:val="21"/>
          <w:szCs w:val="21"/>
          <w:lang w:val="es-PE"/>
        </w:rPr>
        <w:t>liza</w:t>
      </w:r>
      <w:r w:rsidR="0005795E">
        <w:rPr>
          <w:rFonts w:ascii="Calibri" w:hAnsi="Calibri" w:cs="Calibri"/>
          <w:sz w:val="21"/>
          <w:szCs w:val="21"/>
          <w:lang w:val="es-PE"/>
        </w:rPr>
        <w:t>ción de</w:t>
      </w:r>
      <w:r w:rsidR="00FD73DD">
        <w:rPr>
          <w:rFonts w:ascii="Calibri" w:hAnsi="Calibri" w:cs="Calibri"/>
          <w:sz w:val="21"/>
          <w:szCs w:val="21"/>
          <w:lang w:val="es-PE"/>
        </w:rPr>
        <w:t xml:space="preserve"> la protección puede impedir</w:t>
      </w:r>
      <w:r>
        <w:rPr>
          <w:rFonts w:ascii="Calibri" w:hAnsi="Calibri" w:cs="Calibri"/>
          <w:sz w:val="21"/>
          <w:szCs w:val="21"/>
          <w:lang w:val="es-PE"/>
        </w:rPr>
        <w:t xml:space="preserve"> la recuperación y construcción de resiliencia en las comunidades afectadas. Nuestras acciones o inacciones pueden también perpetuar la discriminación, abuso, violencia y ex</w:t>
      </w:r>
      <w:r w:rsidR="0012185E">
        <w:rPr>
          <w:rFonts w:ascii="Calibri" w:hAnsi="Calibri" w:cs="Calibri"/>
          <w:sz w:val="21"/>
          <w:szCs w:val="21"/>
          <w:lang w:val="es-PE"/>
        </w:rPr>
        <w:t xml:space="preserve">plotación, </w:t>
      </w:r>
      <w:r>
        <w:rPr>
          <w:rFonts w:ascii="Calibri" w:hAnsi="Calibri" w:cs="Calibri"/>
          <w:sz w:val="21"/>
          <w:szCs w:val="21"/>
          <w:lang w:val="es-PE"/>
        </w:rPr>
        <w:t>y causa</w:t>
      </w:r>
      <w:r w:rsidR="0012185E">
        <w:rPr>
          <w:rFonts w:ascii="Calibri" w:hAnsi="Calibri" w:cs="Calibri"/>
          <w:sz w:val="21"/>
          <w:szCs w:val="21"/>
          <w:lang w:val="es-PE"/>
        </w:rPr>
        <w:t>r</w:t>
      </w:r>
      <w:r>
        <w:rPr>
          <w:rFonts w:ascii="Calibri" w:hAnsi="Calibri" w:cs="Calibri"/>
          <w:sz w:val="21"/>
          <w:szCs w:val="21"/>
          <w:lang w:val="es-PE"/>
        </w:rPr>
        <w:t xml:space="preserve"> innecesariamente competencia y conflictos en comunidades.</w:t>
      </w:r>
    </w:p>
    <w:p w14:paraId="2ADDC74C" w14:textId="77777777" w:rsidR="00986332" w:rsidRDefault="00986332" w:rsidP="00986332">
      <w:pPr>
        <w:spacing w:line="240" w:lineRule="auto"/>
        <w:jc w:val="both"/>
        <w:rPr>
          <w:rFonts w:ascii="Calibri" w:hAnsi="Calibri" w:cs="Calibri"/>
          <w:sz w:val="21"/>
          <w:szCs w:val="21"/>
          <w:lang w:val="es-PE"/>
        </w:rPr>
      </w:pPr>
      <w:r>
        <w:rPr>
          <w:rFonts w:ascii="Calibri" w:hAnsi="Calibri" w:cs="Calibri"/>
          <w:sz w:val="21"/>
          <w:szCs w:val="21"/>
          <w:lang w:val="es-PE"/>
        </w:rPr>
        <w:t xml:space="preserve">Por lo tanto, todos los actores humanitarios deben compartir la responsabilidad de ser conscientes del daño potencial que </w:t>
      </w:r>
      <w:r w:rsidR="0012185E">
        <w:rPr>
          <w:rFonts w:ascii="Calibri" w:hAnsi="Calibri" w:cs="Calibri"/>
          <w:sz w:val="21"/>
          <w:szCs w:val="21"/>
          <w:lang w:val="es-PE"/>
        </w:rPr>
        <w:t xml:space="preserve">las actividades </w:t>
      </w:r>
      <w:r>
        <w:rPr>
          <w:rFonts w:ascii="Calibri" w:hAnsi="Calibri" w:cs="Calibri"/>
          <w:sz w:val="21"/>
          <w:szCs w:val="21"/>
          <w:lang w:val="es-PE"/>
        </w:rPr>
        <w:t xml:space="preserve">pueden causar y de tomar medidas para evitarlo. Estas responsabilidades están articuladas en una serie de estándares y directrices globales y son </w:t>
      </w:r>
      <w:r w:rsidR="00AF6CB2">
        <w:rPr>
          <w:rFonts w:ascii="Calibri" w:hAnsi="Calibri" w:cs="Calibri"/>
          <w:sz w:val="21"/>
          <w:szCs w:val="21"/>
          <w:lang w:val="es-PE"/>
        </w:rPr>
        <w:t>cada vez más una condición d</w:t>
      </w:r>
      <w:r>
        <w:rPr>
          <w:rFonts w:ascii="Calibri" w:hAnsi="Calibri" w:cs="Calibri"/>
          <w:sz w:val="21"/>
          <w:szCs w:val="21"/>
          <w:lang w:val="es-PE"/>
        </w:rPr>
        <w:t>el financiamiento de los donantes.</w:t>
      </w:r>
    </w:p>
    <w:p w14:paraId="1933660F" w14:textId="77777777" w:rsidR="00986332" w:rsidRPr="001931D1" w:rsidRDefault="00986332" w:rsidP="00986332">
      <w:pPr>
        <w:spacing w:after="0" w:line="240" w:lineRule="auto"/>
        <w:rPr>
          <w:rStyle w:val="IntenseEmphasis"/>
          <w:rFonts w:ascii="Calibri" w:hAnsi="Calibri" w:cs="Calibri"/>
          <w:b w:val="0"/>
          <w:bCs w:val="0"/>
          <w:i w:val="0"/>
          <w:iCs w:val="0"/>
          <w:sz w:val="21"/>
          <w:szCs w:val="21"/>
          <w:lang w:val="es-PE"/>
        </w:rPr>
      </w:pPr>
      <w:r w:rsidRPr="001931D1">
        <w:rPr>
          <w:rStyle w:val="IntenseEmphasis"/>
          <w:rFonts w:eastAsiaTheme="majorEastAsia" w:cstheme="minorHAnsi"/>
          <w:sz w:val="24"/>
          <w:szCs w:val="24"/>
          <w:lang w:val="es-PE"/>
        </w:rPr>
        <w:t xml:space="preserve">¿Qué significa esto en </w:t>
      </w:r>
      <w:r w:rsidR="00214B43">
        <w:rPr>
          <w:rStyle w:val="IntenseEmphasis"/>
          <w:rFonts w:eastAsiaTheme="majorEastAsia" w:cstheme="minorHAnsi"/>
          <w:sz w:val="24"/>
          <w:szCs w:val="24"/>
          <w:lang w:val="es-PE"/>
        </w:rPr>
        <w:t>la práctica</w:t>
      </w:r>
      <w:r w:rsidRPr="001931D1">
        <w:rPr>
          <w:rStyle w:val="IntenseEmphasis"/>
          <w:rFonts w:eastAsiaTheme="majorEastAsia" w:cstheme="minorHAnsi"/>
          <w:sz w:val="24"/>
          <w:szCs w:val="24"/>
          <w:lang w:val="es-PE"/>
        </w:rPr>
        <w:t xml:space="preserve">? </w:t>
      </w:r>
    </w:p>
    <w:p w14:paraId="63DF10CF" w14:textId="77777777" w:rsidR="00986332" w:rsidRPr="00FE2EA5" w:rsidRDefault="00986332" w:rsidP="00986332">
      <w:pPr>
        <w:spacing w:after="0"/>
        <w:jc w:val="both"/>
        <w:rPr>
          <w:rFonts w:ascii="Calibri" w:hAnsi="Calibri" w:cs="Calibri"/>
          <w:bCs/>
          <w:iCs/>
          <w:sz w:val="21"/>
          <w:szCs w:val="21"/>
          <w:lang w:val="es-PE"/>
        </w:rPr>
      </w:pPr>
      <w:r w:rsidRPr="00C17D3D">
        <w:rPr>
          <w:rFonts w:ascii="Calibri" w:hAnsi="Calibri" w:cs="Calibri"/>
          <w:bCs/>
          <w:iCs/>
          <w:sz w:val="21"/>
          <w:szCs w:val="21"/>
          <w:lang w:val="es-PE"/>
        </w:rPr>
        <w:t xml:space="preserve">Los cuatro </w:t>
      </w:r>
      <w:r w:rsidRPr="00DD37B4">
        <w:rPr>
          <w:rFonts w:ascii="Calibri" w:hAnsi="Calibri" w:cs="Calibri"/>
          <w:b/>
          <w:bCs/>
          <w:iCs/>
          <w:sz w:val="21"/>
          <w:szCs w:val="21"/>
          <w:lang w:val="es-PE"/>
        </w:rPr>
        <w:t xml:space="preserve">principios </w:t>
      </w:r>
      <w:r w:rsidRPr="001D2DAB">
        <w:rPr>
          <w:rFonts w:ascii="Calibri" w:hAnsi="Calibri" w:cs="Calibri"/>
          <w:b/>
          <w:bCs/>
          <w:iCs/>
          <w:sz w:val="21"/>
          <w:szCs w:val="21"/>
          <w:lang w:val="es-PE"/>
        </w:rPr>
        <w:t>clave</w:t>
      </w:r>
      <w:r w:rsidRPr="00C17D3D">
        <w:rPr>
          <w:rFonts w:ascii="Calibri" w:hAnsi="Calibri" w:cs="Calibri"/>
          <w:bCs/>
          <w:iCs/>
          <w:sz w:val="21"/>
          <w:szCs w:val="21"/>
          <w:lang w:val="es-PE"/>
        </w:rPr>
        <w:t xml:space="preserve">descritos </w:t>
      </w:r>
      <w:r w:rsidR="00214B43" w:rsidRPr="009D290E">
        <w:rPr>
          <w:rFonts w:ascii="Calibri" w:hAnsi="Calibri" w:cs="Calibri"/>
          <w:bCs/>
          <w:iCs/>
          <w:sz w:val="21"/>
          <w:szCs w:val="21"/>
          <w:lang w:val="es-PE"/>
        </w:rPr>
        <w:t>anteriormente</w:t>
      </w:r>
      <w:r w:rsidRPr="009D290E">
        <w:rPr>
          <w:rFonts w:ascii="Calibri" w:hAnsi="Calibri" w:cs="Calibri"/>
          <w:bCs/>
          <w:iCs/>
          <w:sz w:val="21"/>
          <w:szCs w:val="21"/>
          <w:lang w:val="es-PE"/>
        </w:rPr>
        <w:t>apuntalan</w:t>
      </w:r>
      <w:r>
        <w:rPr>
          <w:rFonts w:ascii="Calibri" w:hAnsi="Calibri" w:cs="Calibri"/>
          <w:bCs/>
          <w:iCs/>
          <w:sz w:val="21"/>
          <w:szCs w:val="21"/>
          <w:lang w:val="es-PE"/>
        </w:rPr>
        <w:t xml:space="preserve"> los </w:t>
      </w:r>
      <w:r w:rsidRPr="00214B43">
        <w:rPr>
          <w:rFonts w:ascii="Calibri" w:hAnsi="Calibri" w:cs="Calibri"/>
          <w:b/>
          <w:bCs/>
          <w:iCs/>
          <w:sz w:val="21"/>
          <w:szCs w:val="21"/>
          <w:lang w:val="es-PE"/>
        </w:rPr>
        <w:t xml:space="preserve">componentes </w:t>
      </w:r>
      <w:r w:rsidRPr="00A022C4">
        <w:rPr>
          <w:rFonts w:ascii="Calibri" w:hAnsi="Calibri" w:cs="Calibri"/>
          <w:b/>
          <w:bCs/>
          <w:iCs/>
          <w:sz w:val="21"/>
          <w:szCs w:val="21"/>
          <w:lang w:val="es-PE"/>
        </w:rPr>
        <w:t>centrales</w:t>
      </w:r>
      <w:r>
        <w:rPr>
          <w:rFonts w:ascii="Calibri" w:hAnsi="Calibri" w:cs="Calibri"/>
          <w:bCs/>
          <w:iCs/>
          <w:sz w:val="21"/>
          <w:szCs w:val="21"/>
          <w:lang w:val="es-PE"/>
        </w:rPr>
        <w:t>de la transversalización de la protección. Forman en conjunto la base de todo el trabajo de protección, desde la transversalización</w:t>
      </w:r>
      <w:r w:rsidR="00BE704A">
        <w:rPr>
          <w:rFonts w:ascii="Calibri" w:hAnsi="Calibri" w:cs="Calibri"/>
          <w:bCs/>
          <w:iCs/>
          <w:sz w:val="21"/>
          <w:szCs w:val="21"/>
          <w:lang w:val="es-PE"/>
        </w:rPr>
        <w:t>h</w:t>
      </w:r>
      <w:r>
        <w:rPr>
          <w:rFonts w:ascii="Calibri" w:hAnsi="Calibri" w:cs="Calibri"/>
          <w:bCs/>
          <w:iCs/>
          <w:sz w:val="21"/>
          <w:szCs w:val="21"/>
          <w:lang w:val="es-PE"/>
        </w:rPr>
        <w:t>a</w:t>
      </w:r>
      <w:r w:rsidR="00BE704A">
        <w:rPr>
          <w:rFonts w:ascii="Calibri" w:hAnsi="Calibri" w:cs="Calibri"/>
          <w:bCs/>
          <w:iCs/>
          <w:sz w:val="21"/>
          <w:szCs w:val="21"/>
          <w:lang w:val="es-PE"/>
        </w:rPr>
        <w:t>sta</w:t>
      </w:r>
      <w:r>
        <w:rPr>
          <w:rFonts w:ascii="Calibri" w:hAnsi="Calibri" w:cs="Calibri"/>
          <w:bCs/>
          <w:iCs/>
          <w:sz w:val="21"/>
          <w:szCs w:val="21"/>
          <w:lang w:val="es-PE"/>
        </w:rPr>
        <w:t xml:space="preserve"> proyectos </w:t>
      </w:r>
      <w:r w:rsidR="00BE704A">
        <w:rPr>
          <w:rFonts w:ascii="Calibri" w:hAnsi="Calibri" w:cs="Calibri"/>
          <w:bCs/>
          <w:iCs/>
          <w:sz w:val="21"/>
          <w:szCs w:val="21"/>
          <w:lang w:val="es-PE"/>
        </w:rPr>
        <w:t>independientes.</w:t>
      </w:r>
    </w:p>
    <w:p w14:paraId="7F94BA59" w14:textId="77777777" w:rsidR="00986332" w:rsidRDefault="00986332" w:rsidP="00986332">
      <w:pPr>
        <w:spacing w:after="0"/>
        <w:jc w:val="both"/>
        <w:rPr>
          <w:rFonts w:ascii="Calibri" w:hAnsi="Calibri" w:cs="Calibri"/>
          <w:bCs/>
          <w:iCs/>
          <w:sz w:val="21"/>
          <w:szCs w:val="21"/>
          <w:lang w:val="es-PE"/>
        </w:rPr>
      </w:pPr>
    </w:p>
    <w:p w14:paraId="07BDF0C8" w14:textId="77777777" w:rsidR="00986332" w:rsidRPr="00FE2EA5" w:rsidRDefault="00986332" w:rsidP="00986332">
      <w:pPr>
        <w:spacing w:after="0"/>
        <w:jc w:val="both"/>
        <w:rPr>
          <w:rFonts w:ascii="Calibri" w:hAnsi="Calibri" w:cs="Calibri"/>
          <w:bCs/>
          <w:iCs/>
          <w:sz w:val="21"/>
          <w:szCs w:val="21"/>
          <w:lang w:val="es-PE"/>
        </w:rPr>
      </w:pPr>
      <w:r w:rsidRPr="00FE2EA5">
        <w:rPr>
          <w:rFonts w:ascii="Calibri" w:hAnsi="Calibri" w:cs="Calibri"/>
          <w:bCs/>
          <w:iCs/>
          <w:sz w:val="21"/>
          <w:szCs w:val="21"/>
          <w:lang w:val="es-PE"/>
        </w:rPr>
        <w:t xml:space="preserve">Los </w:t>
      </w:r>
      <w:r w:rsidRPr="00456629">
        <w:rPr>
          <w:rFonts w:ascii="Calibri" w:hAnsi="Calibri" w:cs="Calibri"/>
          <w:bCs/>
          <w:iCs/>
          <w:sz w:val="21"/>
          <w:szCs w:val="21"/>
          <w:lang w:val="es-PE"/>
        </w:rPr>
        <w:t xml:space="preserve">componentes </w:t>
      </w:r>
      <w:r w:rsidRPr="00A022C4">
        <w:rPr>
          <w:rFonts w:ascii="Calibri" w:hAnsi="Calibri" w:cs="Calibri"/>
          <w:bCs/>
          <w:iCs/>
          <w:sz w:val="21"/>
          <w:szCs w:val="21"/>
          <w:lang w:val="es-PE"/>
        </w:rPr>
        <w:t>centrales</w:t>
      </w:r>
      <w:r w:rsidR="00323142">
        <w:rPr>
          <w:rFonts w:ascii="Calibri" w:hAnsi="Calibri" w:cs="Calibri"/>
          <w:bCs/>
          <w:iCs/>
          <w:sz w:val="21"/>
          <w:szCs w:val="21"/>
          <w:lang w:val="es-PE"/>
        </w:rPr>
        <w:t>comprend</w:t>
      </w:r>
      <w:r w:rsidR="00456629">
        <w:rPr>
          <w:rFonts w:ascii="Calibri" w:hAnsi="Calibri" w:cs="Calibri"/>
          <w:bCs/>
          <w:iCs/>
          <w:sz w:val="21"/>
          <w:szCs w:val="21"/>
          <w:lang w:val="es-PE"/>
        </w:rPr>
        <w:t>en</w:t>
      </w:r>
      <w:r w:rsidRPr="00FE2EA5">
        <w:rPr>
          <w:rFonts w:ascii="Calibri" w:hAnsi="Calibri" w:cs="Calibri"/>
          <w:bCs/>
          <w:iCs/>
          <w:sz w:val="21"/>
          <w:szCs w:val="21"/>
          <w:lang w:val="es-PE"/>
        </w:rPr>
        <w:t xml:space="preserve"> acciones pr</w:t>
      </w:r>
      <w:r>
        <w:rPr>
          <w:rFonts w:ascii="Calibri" w:hAnsi="Calibri" w:cs="Calibri"/>
          <w:bCs/>
          <w:iCs/>
          <w:sz w:val="21"/>
          <w:szCs w:val="21"/>
          <w:lang w:val="es-PE"/>
        </w:rPr>
        <w:t xml:space="preserve">ácticas que muchos equipos ya podrían estar siguiendo, pero cuando se aplican </w:t>
      </w:r>
      <w:r w:rsidR="00323142">
        <w:rPr>
          <w:rFonts w:ascii="Calibri" w:hAnsi="Calibri" w:cs="Calibri"/>
          <w:bCs/>
          <w:iCs/>
          <w:sz w:val="21"/>
          <w:szCs w:val="21"/>
          <w:lang w:val="es-PE"/>
        </w:rPr>
        <w:t>de</w:t>
      </w:r>
      <w:r>
        <w:rPr>
          <w:rFonts w:ascii="Calibri" w:hAnsi="Calibri" w:cs="Calibri"/>
          <w:bCs/>
          <w:iCs/>
          <w:sz w:val="21"/>
          <w:szCs w:val="21"/>
          <w:lang w:val="es-PE"/>
        </w:rPr>
        <w:t xml:space="preserve"> manera sistemática pueden ayudar a garantizar seguridad, dignidad y acce</w:t>
      </w:r>
      <w:r w:rsidR="00323142">
        <w:rPr>
          <w:rFonts w:ascii="Calibri" w:hAnsi="Calibri" w:cs="Calibri"/>
          <w:bCs/>
          <w:iCs/>
          <w:sz w:val="21"/>
          <w:szCs w:val="21"/>
          <w:lang w:val="es-PE"/>
        </w:rPr>
        <w:t>so a los beneficiarios. Estos incluye</w:t>
      </w:r>
      <w:r>
        <w:rPr>
          <w:rFonts w:ascii="Calibri" w:hAnsi="Calibri" w:cs="Calibri"/>
          <w:bCs/>
          <w:iCs/>
          <w:sz w:val="21"/>
          <w:szCs w:val="21"/>
          <w:lang w:val="es-PE"/>
        </w:rPr>
        <w:t>n:</w:t>
      </w:r>
    </w:p>
    <w:p w14:paraId="1CCAD34B" w14:textId="77777777" w:rsidR="00986332" w:rsidRPr="00456629" w:rsidRDefault="00986332" w:rsidP="00986332">
      <w:pPr>
        <w:spacing w:after="0"/>
        <w:jc w:val="both"/>
        <w:rPr>
          <w:rFonts w:ascii="Calibri" w:hAnsi="Calibri" w:cs="Calibri"/>
          <w:bCs/>
          <w:iCs/>
          <w:sz w:val="21"/>
          <w:szCs w:val="21"/>
          <w:lang w:val="es-PE"/>
        </w:rPr>
      </w:pPr>
    </w:p>
    <w:tbl>
      <w:tblPr>
        <w:tblStyle w:val="TableGrid"/>
        <w:tblW w:w="70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252"/>
      </w:tblGrid>
      <w:tr w:rsidR="00986332" w:rsidRPr="00B132E1" w14:paraId="60CBE185" w14:textId="77777777" w:rsidTr="003247A0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A549" w14:textId="77777777" w:rsidR="00A022C4" w:rsidRDefault="00A022C4" w:rsidP="00CA5963">
            <w:pPr>
              <w:rPr>
                <w:b/>
                <w:color w:val="4F81BD" w:themeColor="accent1"/>
                <w:sz w:val="21"/>
                <w:szCs w:val="21"/>
                <w:lang w:val="es-ES"/>
              </w:rPr>
            </w:pPr>
            <w:r w:rsidRPr="00A022C4">
              <w:rPr>
                <w:b/>
                <w:color w:val="4F81BD" w:themeColor="accent1"/>
                <w:sz w:val="21"/>
                <w:szCs w:val="21"/>
                <w:lang w:val="es-ES"/>
              </w:rPr>
              <w:t>Componentes</w:t>
            </w:r>
          </w:p>
          <w:p w14:paraId="4889AE78" w14:textId="77777777" w:rsidR="00A022C4" w:rsidRDefault="002852ED" w:rsidP="00BD1B39">
            <w:pPr>
              <w:rPr>
                <w:b/>
                <w:color w:val="4F81BD" w:themeColor="accent1"/>
                <w:sz w:val="21"/>
                <w:szCs w:val="21"/>
                <w:lang w:val="es-ES"/>
              </w:rPr>
            </w:pPr>
            <w:r>
              <w:rPr>
                <w:b/>
                <w:color w:val="4F81BD" w:themeColor="accent1"/>
                <w:sz w:val="21"/>
                <w:szCs w:val="21"/>
                <w:highlight w:val="yellow"/>
                <w:lang w:val="es-ES"/>
              </w:rPr>
              <w:t>c</w:t>
            </w:r>
            <w:r w:rsidR="00923ED2" w:rsidRPr="00923ED2">
              <w:rPr>
                <w:b/>
                <w:color w:val="4F81BD" w:themeColor="accent1"/>
                <w:sz w:val="21"/>
                <w:szCs w:val="21"/>
                <w:highlight w:val="yellow"/>
                <w:lang w:val="es-ES"/>
              </w:rPr>
              <w:t>entrales</w:t>
            </w:r>
          </w:p>
          <w:p w14:paraId="64F72056" w14:textId="77777777" w:rsidR="00BD1B39" w:rsidRPr="00A022C4" w:rsidRDefault="00BD1B39" w:rsidP="00BD1B39">
            <w:pPr>
              <w:rPr>
                <w:b/>
                <w:color w:val="4F81BD" w:themeColor="accent1"/>
                <w:sz w:val="21"/>
                <w:szCs w:val="21"/>
                <w:lang w:val="es-PE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6EE9" w14:textId="77777777" w:rsidR="00986332" w:rsidRPr="00FE2EA5" w:rsidRDefault="00323142" w:rsidP="005E00CF">
            <w:pPr>
              <w:rPr>
                <w:b/>
                <w:color w:val="4F81BD" w:themeColor="accent1"/>
                <w:sz w:val="21"/>
                <w:szCs w:val="21"/>
                <w:lang w:val="es-PE"/>
              </w:rPr>
            </w:pPr>
            <w:r>
              <w:rPr>
                <w:b/>
                <w:color w:val="4F81BD" w:themeColor="accent1"/>
                <w:sz w:val="21"/>
                <w:szCs w:val="21"/>
                <w:lang w:val="es-PE"/>
              </w:rPr>
              <w:t xml:space="preserve">En la </w:t>
            </w:r>
            <w:r w:rsidR="00986332" w:rsidRPr="00FE2EA5">
              <w:rPr>
                <w:b/>
                <w:color w:val="4F81BD" w:themeColor="accent1"/>
                <w:sz w:val="21"/>
                <w:szCs w:val="21"/>
                <w:lang w:val="es-PE"/>
              </w:rPr>
              <w:t>práctic</w:t>
            </w:r>
            <w:r>
              <w:rPr>
                <w:b/>
                <w:color w:val="4F81BD" w:themeColor="accent1"/>
                <w:sz w:val="21"/>
                <w:szCs w:val="21"/>
                <w:lang w:val="es-PE"/>
              </w:rPr>
              <w:t>a</w:t>
            </w:r>
            <w:r w:rsidR="00986332" w:rsidRPr="00FE2EA5">
              <w:rPr>
                <w:b/>
                <w:color w:val="4F81BD" w:themeColor="accent1"/>
                <w:sz w:val="21"/>
                <w:szCs w:val="21"/>
                <w:lang w:val="es-PE"/>
              </w:rPr>
              <w:t xml:space="preserve"> esto signif</w:t>
            </w:r>
            <w:r w:rsidR="00986332">
              <w:rPr>
                <w:b/>
                <w:color w:val="4F81BD" w:themeColor="accent1"/>
                <w:sz w:val="21"/>
                <w:szCs w:val="21"/>
                <w:lang w:val="es-PE"/>
              </w:rPr>
              <w:t>i</w:t>
            </w:r>
            <w:r w:rsidR="005E00CF">
              <w:rPr>
                <w:b/>
                <w:color w:val="4F81BD" w:themeColor="accent1"/>
                <w:sz w:val="21"/>
                <w:szCs w:val="21"/>
                <w:lang w:val="es-PE"/>
              </w:rPr>
              <w:t>ca…</w:t>
            </w:r>
          </w:p>
        </w:tc>
      </w:tr>
      <w:tr w:rsidR="00986332" w:rsidRPr="00B132E1" w14:paraId="1E5BF9AA" w14:textId="77777777" w:rsidTr="003247A0">
        <w:trPr>
          <w:trHeight w:val="11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9558" w14:textId="77777777" w:rsidR="00986332" w:rsidRDefault="00146FB4" w:rsidP="00CA5963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Aná</w:t>
            </w:r>
            <w:r w:rsidR="00986332">
              <w:rPr>
                <w:rFonts w:ascii="Calibri" w:hAnsi="Calibri" w:cs="Calibri"/>
                <w:sz w:val="21"/>
                <w:szCs w:val="21"/>
              </w:rPr>
              <w:t>lisis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0545" w14:textId="77777777" w:rsidR="00986332" w:rsidRPr="006F302B" w:rsidRDefault="00986332" w:rsidP="00CA5963">
            <w:pPr>
              <w:rPr>
                <w:rFonts w:ascii="Calibri" w:hAnsi="Calibri" w:cs="Calibri"/>
                <w:i/>
                <w:sz w:val="21"/>
                <w:szCs w:val="21"/>
                <w:lang w:val="es-PE"/>
              </w:rPr>
            </w:pP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Toda la programación está respaldada </w:t>
            </w:r>
            <w:r w:rsidRPr="006F302B">
              <w:rPr>
                <w:rFonts w:ascii="Calibri" w:hAnsi="Calibri" w:cs="Calibri"/>
                <w:sz w:val="21"/>
                <w:szCs w:val="21"/>
                <w:lang w:val="es-PE"/>
              </w:rPr>
              <w:t>por una comprensi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ón del contexto de protección a través del ciclo del programa. </w:t>
            </w:r>
            <w:r>
              <w:rPr>
                <w:rFonts w:ascii="Calibri" w:hAnsi="Calibri" w:cs="Calibri"/>
                <w:i/>
                <w:sz w:val="21"/>
                <w:szCs w:val="21"/>
                <w:lang w:val="es-PE"/>
              </w:rPr>
              <w:t>Por ejemplo, organizar debates en grupos focales con mujeres y niñas para comprender sus necesidades y estrategias de superación</w:t>
            </w:r>
            <w:r w:rsidRPr="006F302B">
              <w:rPr>
                <w:rFonts w:ascii="Calibri" w:hAnsi="Calibri" w:cs="Calibri"/>
                <w:i/>
                <w:sz w:val="21"/>
                <w:szCs w:val="21"/>
                <w:lang w:val="es-PE"/>
              </w:rPr>
              <w:t xml:space="preserve">. </w:t>
            </w:r>
          </w:p>
        </w:tc>
      </w:tr>
      <w:tr w:rsidR="00986332" w:rsidRPr="00B132E1" w14:paraId="56E40ED3" w14:textId="77777777" w:rsidTr="003247A0">
        <w:trPr>
          <w:trHeight w:val="10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C12E" w14:textId="77777777" w:rsidR="00986332" w:rsidRPr="00986332" w:rsidRDefault="00CA5963" w:rsidP="00CA5963">
            <w:pPr>
              <w:rPr>
                <w:rFonts w:ascii="Calibri" w:hAnsi="Calibri" w:cs="Calibri"/>
                <w:sz w:val="21"/>
                <w:szCs w:val="21"/>
                <w:lang w:val="es-PE"/>
              </w:rPr>
            </w:pPr>
            <w:r>
              <w:rPr>
                <w:rFonts w:ascii="Calibri" w:hAnsi="Calibri" w:cs="Calibri"/>
                <w:sz w:val="21"/>
                <w:szCs w:val="21"/>
                <w:lang w:val="es-PE"/>
              </w:rPr>
              <w:t>Priorización y necesidades diferenciadas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D40F" w14:textId="77777777" w:rsidR="00986332" w:rsidRPr="004E09A5" w:rsidRDefault="00986332" w:rsidP="00CA5963">
            <w:pPr>
              <w:rPr>
                <w:rFonts w:ascii="Calibri" w:hAnsi="Calibri" w:cs="Calibri"/>
                <w:i/>
                <w:sz w:val="21"/>
                <w:szCs w:val="21"/>
                <w:lang w:val="es-PE"/>
              </w:rPr>
            </w:pPr>
            <w:r w:rsidRPr="006F302B">
              <w:rPr>
                <w:rFonts w:ascii="Calibri" w:hAnsi="Calibri" w:cs="Calibri"/>
                <w:sz w:val="21"/>
                <w:szCs w:val="21"/>
                <w:lang w:val="es-PE"/>
              </w:rPr>
              <w:t>Las diferentes necesidades y capacidades de las mujeres, hombres, niños y niñas m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>ás vulnerables son iden</w:t>
            </w:r>
            <w:r w:rsidR="00146FB4">
              <w:rPr>
                <w:rFonts w:ascii="Calibri" w:hAnsi="Calibri" w:cs="Calibri"/>
                <w:sz w:val="21"/>
                <w:szCs w:val="21"/>
                <w:lang w:val="es-PE"/>
              </w:rPr>
              <w:t>tificadas y la ayuda se prioriza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 según corresponda. </w:t>
            </w:r>
            <w:r>
              <w:rPr>
                <w:rFonts w:ascii="Calibri" w:hAnsi="Calibri" w:cs="Calibri"/>
                <w:i/>
                <w:sz w:val="21"/>
                <w:szCs w:val="21"/>
                <w:lang w:val="es-PE"/>
              </w:rPr>
              <w:t>Por ejemplo, organizar el transporte hacia los lugares de distribución para personas mayores y personas con problemas de movilidad.</w:t>
            </w:r>
          </w:p>
        </w:tc>
      </w:tr>
      <w:tr w:rsidR="00986332" w:rsidRPr="00B132E1" w14:paraId="5EF926E9" w14:textId="77777777" w:rsidTr="003247A0">
        <w:trPr>
          <w:trHeight w:val="10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A85" w14:textId="77777777" w:rsidR="00986332" w:rsidRDefault="00146FB4" w:rsidP="00CA5963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Intercambio de </w:t>
            </w:r>
            <w:r w:rsidR="00986332">
              <w:rPr>
                <w:rFonts w:ascii="Calibri" w:hAnsi="Calibri" w:cs="Calibri"/>
                <w:sz w:val="21"/>
                <w:szCs w:val="21"/>
              </w:rPr>
              <w:t>información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5914" w14:textId="77777777" w:rsidR="00BD1B39" w:rsidRPr="004E09A5" w:rsidRDefault="00986332" w:rsidP="00341599">
            <w:pPr>
              <w:rPr>
                <w:rFonts w:ascii="Calibri" w:hAnsi="Calibri" w:cs="Calibri"/>
                <w:i/>
                <w:sz w:val="21"/>
                <w:szCs w:val="21"/>
                <w:lang w:val="es-PE"/>
              </w:rPr>
            </w:pPr>
            <w:r w:rsidRPr="004E09A5">
              <w:rPr>
                <w:rFonts w:ascii="Calibri" w:hAnsi="Calibri" w:cs="Calibri"/>
                <w:sz w:val="21"/>
                <w:szCs w:val="21"/>
                <w:lang w:val="es-PE"/>
              </w:rPr>
              <w:t>Información prec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isa y oportuna está disponible fácilmente para mujeres, hombres, niños y niñas sobre quiénes somos, qué hacemos y qué servicios están disponibles. </w:t>
            </w:r>
            <w:r>
              <w:rPr>
                <w:rFonts w:ascii="Calibri" w:hAnsi="Calibri" w:cs="Calibri"/>
                <w:i/>
                <w:sz w:val="21"/>
                <w:szCs w:val="21"/>
                <w:lang w:val="es-PE"/>
              </w:rPr>
              <w:t>Por ejemplo, compartir información escrita y verbal a través de folletos, carteles y reuniones comunitarias</w:t>
            </w:r>
            <w:r w:rsidRPr="004E09A5">
              <w:rPr>
                <w:rFonts w:ascii="Calibri" w:hAnsi="Calibri" w:cs="Calibri"/>
                <w:i/>
                <w:sz w:val="21"/>
                <w:szCs w:val="21"/>
                <w:lang w:val="es-PE"/>
              </w:rPr>
              <w:t>.</w:t>
            </w:r>
          </w:p>
        </w:tc>
      </w:tr>
      <w:tr w:rsidR="00986332" w:rsidRPr="00B132E1" w14:paraId="52E860FB" w14:textId="77777777" w:rsidTr="003247A0">
        <w:trPr>
          <w:trHeight w:val="2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9FE6" w14:textId="77777777" w:rsidR="00986332" w:rsidRPr="00B6186C" w:rsidRDefault="00146FB4" w:rsidP="00CA5963">
            <w:pPr>
              <w:rPr>
                <w:rFonts w:ascii="Calibri" w:hAnsi="Calibri" w:cs="Calibri"/>
                <w:sz w:val="21"/>
                <w:szCs w:val="21"/>
                <w:lang w:val="es-PE"/>
              </w:rPr>
            </w:pPr>
            <w:r>
              <w:rPr>
                <w:rFonts w:ascii="Calibri" w:hAnsi="Calibri" w:cs="Calibri"/>
                <w:sz w:val="21"/>
                <w:szCs w:val="21"/>
                <w:lang w:val="es-PE"/>
              </w:rPr>
              <w:lastRenderedPageBreak/>
              <w:t>Participación</w:t>
            </w:r>
            <w:r w:rsidR="00986332" w:rsidRPr="00B6186C">
              <w:rPr>
                <w:rFonts w:ascii="Calibri" w:hAnsi="Calibri" w:cs="Calibri"/>
                <w:sz w:val="21"/>
                <w:szCs w:val="21"/>
                <w:lang w:val="es-PE"/>
              </w:rPr>
              <w:t xml:space="preserve"> de la comunidad</w:t>
            </w:r>
          </w:p>
          <w:p w14:paraId="7140F991" w14:textId="77777777" w:rsidR="00986332" w:rsidRPr="00B6186C" w:rsidRDefault="00986332" w:rsidP="00CA5963">
            <w:pPr>
              <w:rPr>
                <w:rFonts w:ascii="Calibri" w:hAnsi="Calibri" w:cs="Calibri"/>
                <w:sz w:val="21"/>
                <w:szCs w:val="21"/>
                <w:lang w:val="es-PE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26A9" w14:textId="77777777" w:rsidR="00986332" w:rsidRDefault="00146FB4" w:rsidP="00CA5963">
            <w:pPr>
              <w:rPr>
                <w:rFonts w:ascii="Calibri" w:hAnsi="Calibri" w:cs="Calibri"/>
                <w:i/>
                <w:sz w:val="21"/>
                <w:szCs w:val="21"/>
                <w:lang w:val="es-PE"/>
              </w:rPr>
            </w:pPr>
            <w:r>
              <w:rPr>
                <w:rFonts w:ascii="Calibri" w:hAnsi="Calibri" w:cs="Calibri"/>
                <w:sz w:val="21"/>
                <w:szCs w:val="21"/>
                <w:lang w:val="es-PE"/>
              </w:rPr>
              <w:t>Existe una participación activa e inclusiva</w:t>
            </w:r>
            <w:r w:rsidR="00986332">
              <w:rPr>
                <w:rFonts w:ascii="Calibri" w:hAnsi="Calibri" w:cs="Calibri"/>
                <w:sz w:val="21"/>
                <w:szCs w:val="21"/>
                <w:lang w:val="es-PE"/>
              </w:rPr>
              <w:t xml:space="preserve"> de la comunidad</w:t>
            </w:r>
            <w:r w:rsidR="00986332" w:rsidRPr="00B6186C">
              <w:rPr>
                <w:rFonts w:ascii="Calibri" w:hAnsi="Calibri" w:cs="Calibri"/>
                <w:sz w:val="21"/>
                <w:szCs w:val="21"/>
                <w:lang w:val="es-PE"/>
              </w:rPr>
              <w:t xml:space="preserve"> en todas las etapas</w:t>
            </w:r>
            <w:r w:rsidR="00986332">
              <w:rPr>
                <w:rFonts w:ascii="Calibri" w:hAnsi="Calibri" w:cs="Calibri"/>
                <w:sz w:val="21"/>
                <w:szCs w:val="21"/>
                <w:lang w:val="es-PE"/>
              </w:rPr>
              <w:t xml:space="preserve"> del ciclo del programa que aprovecha y fortalece las estructuras, recursos y capacidades existentes de la comunidad y del Estado. </w:t>
            </w:r>
            <w:r w:rsidR="00986332">
              <w:rPr>
                <w:rFonts w:ascii="Calibri" w:hAnsi="Calibri" w:cs="Calibri"/>
                <w:i/>
                <w:sz w:val="21"/>
                <w:szCs w:val="21"/>
                <w:lang w:val="es-PE"/>
              </w:rPr>
              <w:t>Por ejemplo, el uso de diferentes métodos, como cronogramas, calendarios o mapeos para comprometer a diferentes grupos</w:t>
            </w:r>
            <w:r>
              <w:rPr>
                <w:rFonts w:ascii="Calibri" w:hAnsi="Calibri" w:cs="Calibri"/>
                <w:i/>
                <w:sz w:val="21"/>
                <w:szCs w:val="21"/>
                <w:lang w:val="es-PE"/>
              </w:rPr>
              <w:t>.</w:t>
            </w:r>
          </w:p>
          <w:p w14:paraId="47DF0C51" w14:textId="77777777" w:rsidR="00146FB4" w:rsidRPr="00146FB4" w:rsidRDefault="00146FB4" w:rsidP="00CA5963">
            <w:pPr>
              <w:rPr>
                <w:rFonts w:ascii="Calibri" w:hAnsi="Calibri" w:cs="Calibri"/>
                <w:i/>
                <w:sz w:val="21"/>
                <w:szCs w:val="21"/>
                <w:lang w:val="es-PE"/>
              </w:rPr>
            </w:pPr>
          </w:p>
        </w:tc>
      </w:tr>
      <w:tr w:rsidR="00986332" w:rsidRPr="00B132E1" w14:paraId="11345ED1" w14:textId="77777777" w:rsidTr="003247A0">
        <w:trPr>
          <w:trHeight w:val="2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6A0E" w14:textId="77777777" w:rsidR="00986332" w:rsidRPr="00B6186C" w:rsidRDefault="00986332" w:rsidP="003247A0">
            <w:pPr>
              <w:rPr>
                <w:rFonts w:ascii="Calibri" w:hAnsi="Calibri" w:cs="Calibri"/>
                <w:sz w:val="21"/>
                <w:szCs w:val="21"/>
                <w:lang w:val="es-PE"/>
              </w:rPr>
            </w:pPr>
            <w:r w:rsidRPr="00B6186C">
              <w:rPr>
                <w:rFonts w:ascii="Calibri" w:hAnsi="Calibri" w:cs="Calibri"/>
                <w:sz w:val="21"/>
                <w:szCs w:val="21"/>
                <w:lang w:val="es-PE"/>
              </w:rPr>
              <w:t>Retroalimenta</w:t>
            </w:r>
            <w:r w:rsidR="003247A0">
              <w:rPr>
                <w:rFonts w:ascii="Calibri" w:hAnsi="Calibri" w:cs="Calibri"/>
                <w:sz w:val="21"/>
                <w:szCs w:val="21"/>
                <w:lang w:val="es-PE"/>
              </w:rPr>
              <w:t>c</w:t>
            </w:r>
            <w:r w:rsidRPr="00B6186C">
              <w:rPr>
                <w:rFonts w:ascii="Calibri" w:hAnsi="Calibri" w:cs="Calibri"/>
                <w:sz w:val="21"/>
                <w:szCs w:val="21"/>
                <w:lang w:val="es-PE"/>
              </w:rPr>
              <w:t xml:space="preserve">ión </w:t>
            </w:r>
            <w:r w:rsidR="00E765B5">
              <w:rPr>
                <w:rFonts w:ascii="Calibri" w:hAnsi="Calibri" w:cs="Calibri"/>
                <w:sz w:val="21"/>
                <w:szCs w:val="21"/>
                <w:lang w:val="es-PE"/>
              </w:rPr>
              <w:t>y manejo de quejas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7201" w14:textId="77777777" w:rsidR="00986332" w:rsidRPr="00A23DE6" w:rsidRDefault="00986332" w:rsidP="00E765B5">
            <w:pPr>
              <w:rPr>
                <w:rFonts w:ascii="Calibri" w:hAnsi="Calibri" w:cs="Calibri"/>
                <w:i/>
                <w:sz w:val="21"/>
                <w:szCs w:val="21"/>
                <w:lang w:val="es-PE"/>
              </w:rPr>
            </w:pPr>
            <w:r w:rsidRPr="00B6186C">
              <w:rPr>
                <w:rFonts w:ascii="Calibri" w:hAnsi="Calibri" w:cs="Calibri"/>
                <w:sz w:val="21"/>
                <w:szCs w:val="21"/>
                <w:lang w:val="es-PE"/>
              </w:rPr>
              <w:t xml:space="preserve">Hombres, mujeres, niños y niñas son capaces de proporcionar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retroalimentación y </w:t>
            </w:r>
            <w:r w:rsidR="00EB0C6F">
              <w:rPr>
                <w:rFonts w:ascii="Calibri" w:hAnsi="Calibri" w:cs="Calibri"/>
                <w:sz w:val="21"/>
                <w:szCs w:val="21"/>
                <w:lang w:val="es-PE"/>
              </w:rPr>
              <w:t>plantear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 sus preocupaciones en forma segura, digna y confidencial y recibir una respuesta apropiada cuando lo hacen. </w:t>
            </w:r>
            <w:r>
              <w:rPr>
                <w:rFonts w:ascii="Calibri" w:hAnsi="Calibri" w:cs="Calibri"/>
                <w:i/>
                <w:sz w:val="21"/>
                <w:szCs w:val="21"/>
                <w:lang w:val="es-PE"/>
              </w:rPr>
              <w:t xml:space="preserve">Por ejemplo, </w:t>
            </w:r>
            <w:r w:rsidRPr="00172B86">
              <w:rPr>
                <w:rFonts w:ascii="Calibri" w:hAnsi="Calibri" w:cs="Calibri"/>
                <w:i/>
                <w:sz w:val="21"/>
                <w:szCs w:val="21"/>
                <w:lang w:val="es-PE"/>
              </w:rPr>
              <w:t xml:space="preserve">implementar líneas </w:t>
            </w:r>
            <w:r w:rsidR="004D4B08" w:rsidRPr="00172B86">
              <w:rPr>
                <w:rFonts w:ascii="Calibri" w:hAnsi="Calibri" w:cs="Calibri"/>
                <w:i/>
                <w:sz w:val="21"/>
                <w:szCs w:val="21"/>
                <w:lang w:val="es-PE"/>
              </w:rPr>
              <w:t>directas</w:t>
            </w:r>
            <w:r w:rsidR="00E765B5">
              <w:rPr>
                <w:rFonts w:ascii="Calibri" w:hAnsi="Calibri" w:cs="Calibri"/>
                <w:i/>
                <w:sz w:val="21"/>
                <w:szCs w:val="21"/>
                <w:lang w:val="es-PE"/>
              </w:rPr>
              <w:t xml:space="preserve"> y</w:t>
            </w:r>
            <w:r>
              <w:rPr>
                <w:rFonts w:ascii="Calibri" w:hAnsi="Calibri" w:cs="Calibri"/>
                <w:i/>
                <w:sz w:val="21"/>
                <w:szCs w:val="21"/>
                <w:lang w:val="es-PE"/>
              </w:rPr>
              <w:t xml:space="preserve"> buzones de sugerencias o servicio de asistencia.</w:t>
            </w:r>
          </w:p>
        </w:tc>
      </w:tr>
      <w:tr w:rsidR="00986332" w:rsidRPr="00B132E1" w14:paraId="22B84FCC" w14:textId="77777777" w:rsidTr="003247A0">
        <w:trPr>
          <w:trHeight w:val="1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3239" w14:textId="77777777" w:rsidR="00986332" w:rsidRDefault="00CA5963" w:rsidP="00CA5963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Conducta</w:t>
            </w:r>
            <w:r w:rsidR="00986332">
              <w:rPr>
                <w:rFonts w:ascii="Calibri" w:hAnsi="Calibri" w:cs="Calibri"/>
                <w:sz w:val="21"/>
                <w:szCs w:val="21"/>
              </w:rPr>
              <w:t xml:space="preserve"> del personal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7452" w14:textId="77777777" w:rsidR="00986332" w:rsidRPr="00A23DE6" w:rsidRDefault="00986332" w:rsidP="00C84131">
            <w:pPr>
              <w:rPr>
                <w:rFonts w:ascii="Calibri" w:hAnsi="Calibri" w:cs="Calibri"/>
                <w:sz w:val="21"/>
                <w:szCs w:val="21"/>
                <w:lang w:val="es-PE"/>
              </w:rPr>
            </w:pPr>
            <w:r w:rsidRPr="00A23DE6">
              <w:rPr>
                <w:rFonts w:ascii="Calibri" w:hAnsi="Calibri" w:cs="Calibri"/>
                <w:sz w:val="21"/>
                <w:szCs w:val="21"/>
                <w:lang w:val="es-PE"/>
              </w:rPr>
              <w:t xml:space="preserve">El personal y </w:t>
            </w:r>
            <w:r w:rsidRPr="001C5ECE">
              <w:rPr>
                <w:rFonts w:ascii="Calibri" w:hAnsi="Calibri" w:cs="Calibri"/>
                <w:sz w:val="21"/>
                <w:szCs w:val="21"/>
                <w:lang w:val="es-PE"/>
              </w:rPr>
              <w:t>los socios</w:t>
            </w:r>
            <w:r w:rsidRPr="00A23DE6">
              <w:rPr>
                <w:rFonts w:ascii="Calibri" w:hAnsi="Calibri" w:cs="Calibri"/>
                <w:sz w:val="21"/>
                <w:szCs w:val="21"/>
                <w:lang w:val="es-PE"/>
              </w:rPr>
              <w:t xml:space="preserve"> tienen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>el</w:t>
            </w:r>
            <w:r w:rsidRPr="00A23DE6">
              <w:rPr>
                <w:rFonts w:ascii="Calibri" w:hAnsi="Calibri" w:cs="Calibri"/>
                <w:sz w:val="21"/>
                <w:szCs w:val="21"/>
                <w:lang w:val="es-PE"/>
              </w:rPr>
              <w:t xml:space="preserve"> conocimiento apropiado y apoyo organ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>izacional para co</w:t>
            </w:r>
            <w:r w:rsidR="001C5ECE">
              <w:rPr>
                <w:rFonts w:ascii="Calibri" w:hAnsi="Calibri" w:cs="Calibri"/>
                <w:sz w:val="21"/>
                <w:szCs w:val="21"/>
                <w:lang w:val="es-PE"/>
              </w:rPr>
              <w:t xml:space="preserve">mportarse y realizar su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trabajo de una manera </w:t>
            </w:r>
            <w:r w:rsidRPr="00A23DE6">
              <w:rPr>
                <w:rFonts w:ascii="Calibri" w:hAnsi="Calibri" w:cs="Calibri"/>
                <w:sz w:val="21"/>
                <w:szCs w:val="21"/>
                <w:lang w:val="es-PE"/>
              </w:rPr>
              <w:t xml:space="preserve">segura y apropiada. </w:t>
            </w:r>
            <w:r>
              <w:rPr>
                <w:rFonts w:ascii="Calibri" w:hAnsi="Calibri" w:cs="Calibri"/>
                <w:i/>
                <w:sz w:val="21"/>
                <w:szCs w:val="21"/>
                <w:lang w:val="es-PE"/>
              </w:rPr>
              <w:t>Por ejemplo, ori</w:t>
            </w:r>
            <w:r w:rsidR="00C84131">
              <w:rPr>
                <w:rFonts w:ascii="Calibri" w:hAnsi="Calibri" w:cs="Calibri"/>
                <w:i/>
                <w:sz w:val="21"/>
                <w:szCs w:val="21"/>
                <w:lang w:val="es-PE"/>
              </w:rPr>
              <w:t>entar al personal y voluntarios</w:t>
            </w:r>
            <w:r>
              <w:rPr>
                <w:rFonts w:ascii="Calibri" w:hAnsi="Calibri" w:cs="Calibri"/>
                <w:i/>
                <w:sz w:val="21"/>
                <w:szCs w:val="21"/>
                <w:lang w:val="es-PE"/>
              </w:rPr>
              <w:t xml:space="preserve"> en el código de conducta en asuntos clave sobre los proyectos.</w:t>
            </w:r>
          </w:p>
        </w:tc>
      </w:tr>
      <w:tr w:rsidR="00986332" w:rsidRPr="00B132E1" w14:paraId="4CB4435C" w14:textId="77777777" w:rsidTr="003247A0">
        <w:trPr>
          <w:trHeight w:val="2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0F11" w14:textId="77777777" w:rsidR="00986332" w:rsidRDefault="00986332" w:rsidP="00CA5963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Mapeo/Derivación</w:t>
            </w:r>
          </w:p>
          <w:p w14:paraId="2F80BD5E" w14:textId="77777777" w:rsidR="00986332" w:rsidRDefault="00986332" w:rsidP="00CA596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8FD8" w14:textId="77777777" w:rsidR="00986332" w:rsidRPr="00CA5963" w:rsidRDefault="00986332" w:rsidP="000F607A">
            <w:pPr>
              <w:rPr>
                <w:rFonts w:ascii="Calibri" w:hAnsi="Calibri" w:cs="Calibri"/>
                <w:i/>
                <w:sz w:val="21"/>
                <w:szCs w:val="21"/>
                <w:lang w:val="es-PE"/>
              </w:rPr>
            </w:pPr>
            <w:r w:rsidRPr="00CA5963">
              <w:rPr>
                <w:rFonts w:ascii="Calibri" w:hAnsi="Calibri" w:cs="Calibri"/>
                <w:sz w:val="21"/>
                <w:szCs w:val="21"/>
                <w:lang w:val="es-PE"/>
              </w:rPr>
              <w:t>El personal y los socios</w:t>
            </w:r>
            <w:r w:rsidR="00CA5963">
              <w:rPr>
                <w:rFonts w:ascii="Calibri" w:hAnsi="Calibri" w:cs="Calibri"/>
                <w:sz w:val="21"/>
                <w:szCs w:val="21"/>
                <w:lang w:val="es-PE"/>
              </w:rPr>
              <w:t xml:space="preserve"> tienen el conocimiento y la </w:t>
            </w:r>
            <w:r w:rsidR="00CA5963" w:rsidRPr="00CA5963">
              <w:rPr>
                <w:rFonts w:ascii="Calibri" w:hAnsi="Calibri" w:cs="Calibri"/>
                <w:sz w:val="21"/>
                <w:szCs w:val="21"/>
                <w:lang w:val="es-PE"/>
              </w:rPr>
              <w:t>informaci</w:t>
            </w:r>
            <w:r w:rsidR="00CA5963">
              <w:rPr>
                <w:rFonts w:ascii="Calibri" w:hAnsi="Calibri" w:cs="Calibri"/>
                <w:sz w:val="21"/>
                <w:szCs w:val="21"/>
                <w:lang w:val="es-PE"/>
              </w:rPr>
              <w:t xml:space="preserve">ón necesarios para ayudar a las comunidades a acceder a los servicios existentes. </w:t>
            </w:r>
            <w:r w:rsidR="00CA5963">
              <w:rPr>
                <w:rFonts w:ascii="Calibri" w:hAnsi="Calibri" w:cs="Calibri"/>
                <w:i/>
                <w:sz w:val="21"/>
                <w:szCs w:val="21"/>
                <w:lang w:val="es-PE"/>
              </w:rPr>
              <w:t xml:space="preserve">Por ejemplo, proporcionar al personal tarjetas </w:t>
            </w:r>
            <w:r w:rsidR="000F607A">
              <w:rPr>
                <w:rFonts w:ascii="Calibri" w:hAnsi="Calibri" w:cs="Calibri"/>
                <w:i/>
                <w:sz w:val="21"/>
                <w:szCs w:val="21"/>
                <w:lang w:val="es-PE"/>
              </w:rPr>
              <w:t>plastifica</w:t>
            </w:r>
            <w:r w:rsidR="00CA5963">
              <w:rPr>
                <w:rFonts w:ascii="Calibri" w:hAnsi="Calibri" w:cs="Calibri"/>
                <w:i/>
                <w:sz w:val="21"/>
                <w:szCs w:val="21"/>
                <w:lang w:val="es-PE"/>
              </w:rPr>
              <w:t>das con la lista de los proveedores de servicios.</w:t>
            </w:r>
          </w:p>
        </w:tc>
      </w:tr>
      <w:tr w:rsidR="00986332" w:rsidRPr="00B132E1" w14:paraId="05E680A5" w14:textId="77777777" w:rsidTr="003247A0">
        <w:trPr>
          <w:trHeight w:val="2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FDDC" w14:textId="77777777" w:rsidR="00986332" w:rsidRDefault="00CA5963" w:rsidP="00CA5963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Coordinación</w:t>
            </w:r>
            <w:r w:rsidR="00986332">
              <w:rPr>
                <w:rFonts w:ascii="Calibri" w:hAnsi="Calibri" w:cs="Calibri"/>
                <w:sz w:val="21"/>
                <w:szCs w:val="21"/>
              </w:rPr>
              <w:t>/</w:t>
            </w:r>
          </w:p>
          <w:p w14:paraId="347FA7CE" w14:textId="77777777" w:rsidR="00986332" w:rsidRDefault="00146FB4" w:rsidP="00CA5963">
            <w:pPr>
              <w:rPr>
                <w:rFonts w:ascii="Calibri" w:hAnsi="Calibri" w:cs="Calibri"/>
                <w:sz w:val="21"/>
                <w:szCs w:val="21"/>
              </w:rPr>
            </w:pPr>
            <w:r w:rsidRPr="00AE1D8E">
              <w:rPr>
                <w:rFonts w:ascii="Calibri" w:hAnsi="Calibri" w:cs="Calibri"/>
                <w:sz w:val="21"/>
                <w:szCs w:val="21"/>
              </w:rPr>
              <w:t>Incidencia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5D3C" w14:textId="77777777" w:rsidR="0094422A" w:rsidRPr="00CA5963" w:rsidRDefault="00CA5963" w:rsidP="000A02DF">
            <w:pPr>
              <w:rPr>
                <w:rFonts w:ascii="Calibri" w:hAnsi="Calibri" w:cs="Calibri"/>
                <w:i/>
                <w:sz w:val="21"/>
                <w:szCs w:val="21"/>
                <w:lang w:val="es-PE"/>
              </w:rPr>
            </w:pPr>
            <w:r>
              <w:rPr>
                <w:rFonts w:ascii="Calibri" w:hAnsi="Calibri" w:cs="Calibri"/>
                <w:sz w:val="21"/>
                <w:szCs w:val="21"/>
                <w:lang w:val="es-PE"/>
              </w:rPr>
              <w:t>El personal y los socios influyen</w:t>
            </w:r>
            <w:r w:rsidRPr="00CA5963">
              <w:rPr>
                <w:rFonts w:ascii="Calibri" w:hAnsi="Calibri" w:cs="Calibri"/>
                <w:sz w:val="21"/>
                <w:szCs w:val="21"/>
                <w:lang w:val="es-PE"/>
              </w:rPr>
              <w:t xml:space="preserve"> y trabajan </w:t>
            </w:r>
            <w:r w:rsidR="00B85DD8">
              <w:rPr>
                <w:rFonts w:ascii="Calibri" w:hAnsi="Calibri" w:cs="Calibri"/>
                <w:sz w:val="21"/>
                <w:szCs w:val="21"/>
                <w:lang w:val="es-PE"/>
              </w:rPr>
              <w:t>con</w:t>
            </w:r>
            <w:r w:rsidRPr="00CA5963">
              <w:rPr>
                <w:rFonts w:ascii="Calibri" w:hAnsi="Calibri" w:cs="Calibri"/>
                <w:sz w:val="21"/>
                <w:szCs w:val="21"/>
                <w:lang w:val="es-PE"/>
              </w:rPr>
              <w:t>junt</w:t>
            </w:r>
            <w:r w:rsidR="00B85DD8">
              <w:rPr>
                <w:rFonts w:ascii="Calibri" w:hAnsi="Calibri" w:cs="Calibri"/>
                <w:sz w:val="21"/>
                <w:szCs w:val="21"/>
                <w:lang w:val="es-PE"/>
              </w:rPr>
              <w:t>amente</w:t>
            </w:r>
            <w:r w:rsidRPr="00CA5963">
              <w:rPr>
                <w:rFonts w:ascii="Calibri" w:hAnsi="Calibri" w:cs="Calibri"/>
                <w:sz w:val="21"/>
                <w:szCs w:val="21"/>
                <w:lang w:val="es-PE"/>
              </w:rPr>
              <w:t xml:space="preserve"> con actor</w:t>
            </w:r>
            <w:r w:rsidR="00146FB4">
              <w:rPr>
                <w:rFonts w:ascii="Calibri" w:hAnsi="Calibri" w:cs="Calibri"/>
                <w:sz w:val="21"/>
                <w:szCs w:val="21"/>
                <w:lang w:val="es-PE"/>
              </w:rPr>
              <w:t>e</w:t>
            </w:r>
            <w:r w:rsidRPr="00CA5963">
              <w:rPr>
                <w:rFonts w:ascii="Calibri" w:hAnsi="Calibri" w:cs="Calibri"/>
                <w:sz w:val="21"/>
                <w:szCs w:val="21"/>
                <w:lang w:val="es-PE"/>
              </w:rPr>
              <w:t>s relev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antes para mejorar el ambiente de protección, evitar la duplicación y prevenir, mitigar y responder a los riesgos de </w:t>
            </w:r>
            <w:r w:rsidR="00B85DD8">
              <w:rPr>
                <w:rFonts w:ascii="Calibri" w:hAnsi="Calibri" w:cs="Calibri"/>
                <w:sz w:val="21"/>
                <w:szCs w:val="21"/>
                <w:lang w:val="es-PE"/>
              </w:rPr>
              <w:t xml:space="preserve">la </w:t>
            </w:r>
            <w:r>
              <w:rPr>
                <w:rFonts w:ascii="Calibri" w:hAnsi="Calibri" w:cs="Calibri"/>
                <w:sz w:val="21"/>
                <w:szCs w:val="21"/>
                <w:lang w:val="es-PE"/>
              </w:rPr>
              <w:t xml:space="preserve">protección. </w:t>
            </w:r>
            <w:r w:rsidR="0094422A" w:rsidRPr="000A02DF">
              <w:rPr>
                <w:rFonts w:ascii="Calibri" w:hAnsi="Calibri" w:cs="Calibri"/>
                <w:i/>
                <w:sz w:val="21"/>
                <w:szCs w:val="21"/>
                <w:lang w:val="es-PE"/>
              </w:rPr>
              <w:t>Por ejemplo, el personal pla</w:t>
            </w:r>
            <w:r w:rsidR="00DD37B4" w:rsidRPr="000A02DF">
              <w:rPr>
                <w:rFonts w:ascii="Calibri" w:hAnsi="Calibri" w:cs="Calibri"/>
                <w:i/>
                <w:sz w:val="21"/>
                <w:szCs w:val="21"/>
                <w:lang w:val="es-PE"/>
              </w:rPr>
              <w:t>n</w:t>
            </w:r>
            <w:r w:rsidR="0094422A" w:rsidRPr="000A02DF">
              <w:rPr>
                <w:rFonts w:ascii="Calibri" w:hAnsi="Calibri" w:cs="Calibri"/>
                <w:i/>
                <w:sz w:val="21"/>
                <w:szCs w:val="21"/>
                <w:lang w:val="es-PE"/>
              </w:rPr>
              <w:t>tea a actoresresponsables (tales como el clúster de protección) asuntos tales como el suministro de servicios inseguros.</w:t>
            </w:r>
          </w:p>
        </w:tc>
      </w:tr>
    </w:tbl>
    <w:p w14:paraId="76E1F61B" w14:textId="77777777" w:rsidR="0018247C" w:rsidRPr="0018247C" w:rsidRDefault="0018247C" w:rsidP="0018247C">
      <w:pPr>
        <w:spacing w:after="0"/>
        <w:rPr>
          <w:sz w:val="17"/>
          <w:szCs w:val="17"/>
          <w:lang w:val="es-ES"/>
        </w:rPr>
      </w:pPr>
    </w:p>
    <w:p w14:paraId="55AB648A" w14:textId="77777777" w:rsidR="0018247C" w:rsidRPr="0018247C" w:rsidRDefault="0018247C" w:rsidP="0018247C">
      <w:pPr>
        <w:spacing w:after="0"/>
        <w:rPr>
          <w:rFonts w:ascii="Calibri" w:hAnsi="Calibri" w:cs="Calibri"/>
          <w:i/>
          <w:sz w:val="21"/>
          <w:szCs w:val="21"/>
          <w:lang w:val="es-PE"/>
        </w:rPr>
      </w:pPr>
    </w:p>
    <w:p w14:paraId="2B3CF05B" w14:textId="77777777" w:rsidR="00986332" w:rsidRPr="0018247C" w:rsidRDefault="00986332" w:rsidP="00986332">
      <w:pPr>
        <w:spacing w:after="0"/>
        <w:rPr>
          <w:rFonts w:ascii="Calibri" w:hAnsi="Calibri" w:cs="Calibri"/>
          <w:i/>
          <w:sz w:val="21"/>
          <w:szCs w:val="21"/>
          <w:lang w:val="es-PE"/>
        </w:rPr>
      </w:pPr>
    </w:p>
    <w:p w14:paraId="5BDD8DF3" w14:textId="77777777" w:rsidR="00B30A3A" w:rsidRPr="0018247C" w:rsidRDefault="00B30A3A">
      <w:pPr>
        <w:rPr>
          <w:lang w:val="es-PE"/>
        </w:rPr>
      </w:pPr>
    </w:p>
    <w:sectPr w:rsidR="00B30A3A" w:rsidRPr="0018247C" w:rsidSect="00CA5963">
      <w:footerReference w:type="default" r:id="rId10"/>
      <w:pgSz w:w="16838" w:h="11906" w:orient="landscape"/>
      <w:pgMar w:top="1021" w:right="1077" w:bottom="1021" w:left="1077" w:header="709" w:footer="709" w:gutter="0"/>
      <w:cols w:num="2" w:space="6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CAF61" w14:textId="77777777" w:rsidR="00B748F6" w:rsidRDefault="00B748F6" w:rsidP="00986332">
      <w:pPr>
        <w:spacing w:after="0" w:line="240" w:lineRule="auto"/>
      </w:pPr>
      <w:r>
        <w:separator/>
      </w:r>
    </w:p>
  </w:endnote>
  <w:endnote w:type="continuationSeparator" w:id="0">
    <w:p w14:paraId="3FE18A19" w14:textId="77777777" w:rsidR="00B748F6" w:rsidRDefault="00B748F6" w:rsidP="0098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705"/>
      <w:gridCol w:w="1490"/>
      <w:gridCol w:w="6705"/>
    </w:tblGrid>
    <w:tr w:rsidR="0018247C" w14:paraId="2949AFC4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523DF6A" w14:textId="77777777" w:rsidR="0018247C" w:rsidRDefault="0018247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C3E9589" w14:textId="77777777" w:rsidR="0018247C" w:rsidRDefault="0018247C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AF245B">
            <w:fldChar w:fldCharType="begin"/>
          </w:r>
          <w:r>
            <w:instrText xml:space="preserve"> PAGE  \* MERGEFORMAT </w:instrText>
          </w:r>
          <w:r w:rsidR="00AF245B">
            <w:fldChar w:fldCharType="separate"/>
          </w:r>
          <w:r w:rsidR="00617805" w:rsidRPr="00617805">
            <w:rPr>
              <w:rFonts w:asciiTheme="majorHAnsi" w:hAnsiTheme="majorHAnsi"/>
              <w:b/>
              <w:noProof/>
            </w:rPr>
            <w:t>1</w:t>
          </w:r>
          <w:r w:rsidR="00AF245B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7FB932C" w14:textId="77777777" w:rsidR="0018247C" w:rsidRDefault="0018247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8247C" w14:paraId="276E31C0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AE8AF33" w14:textId="77777777" w:rsidR="0018247C" w:rsidRDefault="0018247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1B95E576" w14:textId="77777777" w:rsidR="0018247C" w:rsidRDefault="0018247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090A09B" w14:textId="77777777" w:rsidR="0018247C" w:rsidRDefault="0018247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9776B9D" w14:textId="77777777" w:rsidR="0018247C" w:rsidRPr="00CE63CC" w:rsidRDefault="0018247C" w:rsidP="00CA5963">
    <w:pPr>
      <w:pStyle w:val="Footer"/>
      <w:rPr>
        <w:rFonts w:cstheme="minorHAnsi"/>
      </w:rPr>
    </w:pPr>
    <w:r w:rsidRPr="00E37A13">
      <w:rPr>
        <w:rFonts w:eastAsiaTheme="majorEastAsia" w:cstheme="majorBidi"/>
        <w:bCs/>
      </w:rPr>
      <w:t>© 2016 CRS, Trócaire, Caritas Australia and CAFOD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7CAEA" w14:textId="77777777" w:rsidR="00B748F6" w:rsidRDefault="00B748F6" w:rsidP="00986332">
      <w:pPr>
        <w:spacing w:after="0" w:line="240" w:lineRule="auto"/>
      </w:pPr>
      <w:r>
        <w:separator/>
      </w:r>
    </w:p>
  </w:footnote>
  <w:footnote w:type="continuationSeparator" w:id="0">
    <w:p w14:paraId="666DD691" w14:textId="77777777" w:rsidR="00B748F6" w:rsidRDefault="00B748F6" w:rsidP="00986332">
      <w:pPr>
        <w:spacing w:after="0" w:line="240" w:lineRule="auto"/>
      </w:pPr>
      <w:r>
        <w:continuationSeparator/>
      </w:r>
    </w:p>
  </w:footnote>
  <w:footnote w:id="1">
    <w:p w14:paraId="7BED3FE9" w14:textId="77777777" w:rsidR="00F442F5" w:rsidRPr="0018247C" w:rsidRDefault="0018247C" w:rsidP="00F442F5">
      <w:pPr>
        <w:pStyle w:val="FootnoteText"/>
        <w:rPr>
          <w:sz w:val="18"/>
          <w:szCs w:val="18"/>
          <w:lang w:val="es-PE"/>
        </w:rPr>
      </w:pPr>
      <w:r w:rsidRPr="009402A5">
        <w:rPr>
          <w:rStyle w:val="FootnoteReference"/>
          <w:sz w:val="18"/>
          <w:szCs w:val="18"/>
        </w:rPr>
        <w:footnoteRef/>
      </w:r>
      <w:r w:rsidR="00F442F5" w:rsidRPr="0018247C">
        <w:rPr>
          <w:sz w:val="18"/>
          <w:szCs w:val="18"/>
          <w:lang w:val="es-PE"/>
        </w:rPr>
        <w:t xml:space="preserve"> “Transversalización de la protección” y “programación segura y digna” pueden ser usados de manera indistinta</w:t>
      </w:r>
      <w:r w:rsidR="00F442F5">
        <w:rPr>
          <w:sz w:val="18"/>
          <w:szCs w:val="18"/>
          <w:lang w:val="es-PE"/>
        </w:rPr>
        <w:t>.</w:t>
      </w:r>
    </w:p>
    <w:p w14:paraId="57B9C72D" w14:textId="77777777" w:rsidR="0018247C" w:rsidRPr="00F442F5" w:rsidRDefault="0018247C" w:rsidP="00986332">
      <w:pPr>
        <w:pStyle w:val="FootnoteText"/>
        <w:rPr>
          <w:sz w:val="18"/>
          <w:szCs w:val="18"/>
          <w:lang w:val="es-PE"/>
        </w:rPr>
      </w:pPr>
    </w:p>
  </w:footnote>
  <w:footnote w:id="2">
    <w:p w14:paraId="0D1AFB2B" w14:textId="77777777" w:rsidR="00706750" w:rsidRPr="00706750" w:rsidRDefault="0018247C" w:rsidP="00706750">
      <w:pPr>
        <w:pStyle w:val="FootnoteText"/>
        <w:rPr>
          <w:lang w:val="es-ES"/>
        </w:rPr>
      </w:pPr>
      <w:r w:rsidRPr="009402A5">
        <w:rPr>
          <w:rStyle w:val="FootnoteReference"/>
          <w:sz w:val="18"/>
          <w:szCs w:val="18"/>
        </w:rPr>
        <w:footnoteRef/>
      </w:r>
      <w:r w:rsidR="00706750" w:rsidRPr="0018247C">
        <w:rPr>
          <w:sz w:val="18"/>
          <w:szCs w:val="18"/>
          <w:lang w:val="es-PE"/>
        </w:rPr>
        <w:t>Definiciones del Clúster Global de Protecci</w:t>
      </w:r>
      <w:r w:rsidR="00706750">
        <w:rPr>
          <w:sz w:val="18"/>
          <w:szCs w:val="18"/>
          <w:lang w:val="es-PE"/>
        </w:rPr>
        <w:t xml:space="preserve">ón: </w:t>
      </w:r>
      <w:hyperlink r:id="rId1" w:history="1">
        <w:r w:rsidR="00706750" w:rsidRPr="0018247C">
          <w:rPr>
            <w:rStyle w:val="Hyperlink"/>
            <w:sz w:val="18"/>
            <w:szCs w:val="18"/>
            <w:lang w:val="es-PE"/>
          </w:rPr>
          <w:t>http://www.globalprotectioncluster.org/en/areas-of-responsibility/protection-mainstreaming.html</w:t>
        </w:r>
      </w:hyperlink>
    </w:p>
    <w:p w14:paraId="5F2250B9" w14:textId="77777777" w:rsidR="0018247C" w:rsidRPr="00706750" w:rsidRDefault="0018247C" w:rsidP="00986332">
      <w:pPr>
        <w:pStyle w:val="FootnoteText"/>
        <w:rPr>
          <w:rStyle w:val="Hyperlink"/>
          <w:sz w:val="18"/>
          <w:szCs w:val="18"/>
          <w:lang w:val="es-ES"/>
        </w:rPr>
      </w:pPr>
    </w:p>
  </w:footnote>
  <w:footnote w:id="3">
    <w:p w14:paraId="427FBA93" w14:textId="77777777" w:rsidR="0018247C" w:rsidRPr="00706750" w:rsidRDefault="0018247C" w:rsidP="00986332">
      <w:pPr>
        <w:pStyle w:val="FootnoteText"/>
        <w:rPr>
          <w:sz w:val="17"/>
          <w:szCs w:val="17"/>
          <w:lang w:val="es-ES"/>
        </w:rPr>
      </w:pPr>
      <w:r w:rsidRPr="0019130D">
        <w:rPr>
          <w:rStyle w:val="FootnoteReference"/>
          <w:sz w:val="17"/>
          <w:szCs w:val="17"/>
        </w:rPr>
        <w:footnoteRef/>
      </w:r>
      <w:r w:rsidR="00706750" w:rsidRPr="0018247C">
        <w:rPr>
          <w:sz w:val="17"/>
          <w:szCs w:val="17"/>
          <w:lang w:val="es-PE"/>
        </w:rPr>
        <w:t xml:space="preserve">El color entre </w:t>
      </w:r>
      <w:r w:rsidR="00706750">
        <w:rPr>
          <w:sz w:val="17"/>
          <w:szCs w:val="17"/>
          <w:lang w:val="es-PE"/>
        </w:rPr>
        <w:t>parént</w:t>
      </w:r>
      <w:r w:rsidR="00706750" w:rsidRPr="0018247C">
        <w:rPr>
          <w:sz w:val="17"/>
          <w:szCs w:val="17"/>
          <w:lang w:val="es-PE"/>
        </w:rPr>
        <w:t>esis se refiere al triángulo codificado por colores que visualiza los diferentes enfoques de protecci</w:t>
      </w:r>
      <w:r w:rsidR="00706750">
        <w:rPr>
          <w:sz w:val="17"/>
          <w:szCs w:val="17"/>
          <w:lang w:val="es-PE"/>
        </w:rPr>
        <w:t>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A5BFC"/>
    <w:multiLevelType w:val="hybridMultilevel"/>
    <w:tmpl w:val="44A015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F4556"/>
    <w:multiLevelType w:val="hybridMultilevel"/>
    <w:tmpl w:val="0EB0D5E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32"/>
    <w:rsid w:val="00015CC6"/>
    <w:rsid w:val="000445C7"/>
    <w:rsid w:val="000502E5"/>
    <w:rsid w:val="00051587"/>
    <w:rsid w:val="0005795E"/>
    <w:rsid w:val="000820AA"/>
    <w:rsid w:val="000A02DF"/>
    <w:rsid w:val="000C11DD"/>
    <w:rsid w:val="000E7873"/>
    <w:rsid w:val="000F607A"/>
    <w:rsid w:val="00110D1F"/>
    <w:rsid w:val="0012185E"/>
    <w:rsid w:val="00146FB4"/>
    <w:rsid w:val="001647BC"/>
    <w:rsid w:val="00172B86"/>
    <w:rsid w:val="0018247C"/>
    <w:rsid w:val="00190690"/>
    <w:rsid w:val="001A664D"/>
    <w:rsid w:val="001B6667"/>
    <w:rsid w:val="001C5ECE"/>
    <w:rsid w:val="001D2DAB"/>
    <w:rsid w:val="001D62A2"/>
    <w:rsid w:val="00214B43"/>
    <w:rsid w:val="00244D20"/>
    <w:rsid w:val="002852ED"/>
    <w:rsid w:val="00291A4A"/>
    <w:rsid w:val="002E29E2"/>
    <w:rsid w:val="00323142"/>
    <w:rsid w:val="003247A0"/>
    <w:rsid w:val="00341599"/>
    <w:rsid w:val="00371D7F"/>
    <w:rsid w:val="003B5473"/>
    <w:rsid w:val="00411F37"/>
    <w:rsid w:val="0043329C"/>
    <w:rsid w:val="00456629"/>
    <w:rsid w:val="0049064F"/>
    <w:rsid w:val="004C5993"/>
    <w:rsid w:val="004D4B08"/>
    <w:rsid w:val="004E023B"/>
    <w:rsid w:val="004E5D92"/>
    <w:rsid w:val="00500789"/>
    <w:rsid w:val="00502D23"/>
    <w:rsid w:val="005049C4"/>
    <w:rsid w:val="005439C6"/>
    <w:rsid w:val="005E00CF"/>
    <w:rsid w:val="00617805"/>
    <w:rsid w:val="0063082A"/>
    <w:rsid w:val="0063454F"/>
    <w:rsid w:val="00684F62"/>
    <w:rsid w:val="006D5701"/>
    <w:rsid w:val="006F46E1"/>
    <w:rsid w:val="00706750"/>
    <w:rsid w:val="00714685"/>
    <w:rsid w:val="00743390"/>
    <w:rsid w:val="00777C42"/>
    <w:rsid w:val="007D13DD"/>
    <w:rsid w:val="007F330D"/>
    <w:rsid w:val="007F7D01"/>
    <w:rsid w:val="00821497"/>
    <w:rsid w:val="008372C7"/>
    <w:rsid w:val="00842645"/>
    <w:rsid w:val="00845418"/>
    <w:rsid w:val="008A274F"/>
    <w:rsid w:val="008A3E40"/>
    <w:rsid w:val="008B0027"/>
    <w:rsid w:val="00923ED2"/>
    <w:rsid w:val="0094422A"/>
    <w:rsid w:val="00984B0B"/>
    <w:rsid w:val="00986332"/>
    <w:rsid w:val="009C5E4C"/>
    <w:rsid w:val="009D1E4B"/>
    <w:rsid w:val="009D290E"/>
    <w:rsid w:val="009F4F70"/>
    <w:rsid w:val="00A022C4"/>
    <w:rsid w:val="00A30872"/>
    <w:rsid w:val="00A44B03"/>
    <w:rsid w:val="00A461F1"/>
    <w:rsid w:val="00A57913"/>
    <w:rsid w:val="00A6378D"/>
    <w:rsid w:val="00AE1D8E"/>
    <w:rsid w:val="00AF245B"/>
    <w:rsid w:val="00AF6CB2"/>
    <w:rsid w:val="00B132E1"/>
    <w:rsid w:val="00B30A3A"/>
    <w:rsid w:val="00B3306B"/>
    <w:rsid w:val="00B748F6"/>
    <w:rsid w:val="00B85DD8"/>
    <w:rsid w:val="00BD0AEF"/>
    <w:rsid w:val="00BD1B39"/>
    <w:rsid w:val="00BE704A"/>
    <w:rsid w:val="00C108DD"/>
    <w:rsid w:val="00C6704D"/>
    <w:rsid w:val="00C84131"/>
    <w:rsid w:val="00C8651E"/>
    <w:rsid w:val="00C9764F"/>
    <w:rsid w:val="00CA5963"/>
    <w:rsid w:val="00D34060"/>
    <w:rsid w:val="00D43149"/>
    <w:rsid w:val="00D5499D"/>
    <w:rsid w:val="00D93BA5"/>
    <w:rsid w:val="00D942E9"/>
    <w:rsid w:val="00DC5D66"/>
    <w:rsid w:val="00DD37B4"/>
    <w:rsid w:val="00E43699"/>
    <w:rsid w:val="00E43B60"/>
    <w:rsid w:val="00E50D00"/>
    <w:rsid w:val="00E62231"/>
    <w:rsid w:val="00E765B5"/>
    <w:rsid w:val="00EB0C6F"/>
    <w:rsid w:val="00F009FC"/>
    <w:rsid w:val="00F442F5"/>
    <w:rsid w:val="00F44B04"/>
    <w:rsid w:val="00F52470"/>
    <w:rsid w:val="00F5586A"/>
    <w:rsid w:val="00FD73DD"/>
    <w:rsid w:val="00FE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0038D8"/>
  <w15:docId w15:val="{B8212330-D736-4F9A-9B09-14A2341E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33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332"/>
    <w:pPr>
      <w:ind w:left="720"/>
      <w:contextualSpacing/>
    </w:pPr>
  </w:style>
  <w:style w:type="paragraph" w:styleId="FootnoteText">
    <w:name w:val="footnote text"/>
    <w:basedOn w:val="Normal"/>
    <w:link w:val="TextonotapieCar"/>
    <w:uiPriority w:val="99"/>
    <w:semiHidden/>
    <w:unhideWhenUsed/>
    <w:rsid w:val="009863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DefaultParagraphFont"/>
    <w:link w:val="FootnoteText"/>
    <w:uiPriority w:val="99"/>
    <w:semiHidden/>
    <w:rsid w:val="00986332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86332"/>
    <w:rPr>
      <w:vertAlign w:val="superscript"/>
    </w:rPr>
  </w:style>
  <w:style w:type="table" w:styleId="TableGrid">
    <w:name w:val="Table Grid"/>
    <w:basedOn w:val="TableNormal"/>
    <w:uiPriority w:val="39"/>
    <w:rsid w:val="00986332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EncabezadoCar"/>
    <w:uiPriority w:val="99"/>
    <w:unhideWhenUsed/>
    <w:rsid w:val="00986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986332"/>
    <w:rPr>
      <w:rFonts w:eastAsiaTheme="minorEastAsia"/>
      <w:lang w:val="en-GB" w:eastAsia="en-GB"/>
    </w:rPr>
  </w:style>
  <w:style w:type="paragraph" w:styleId="Footer">
    <w:name w:val="footer"/>
    <w:basedOn w:val="Normal"/>
    <w:link w:val="PiedepginaCar"/>
    <w:uiPriority w:val="99"/>
    <w:unhideWhenUsed/>
    <w:rsid w:val="00986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986332"/>
    <w:rPr>
      <w:rFonts w:eastAsiaTheme="minorEastAsia"/>
      <w:lang w:val="en-GB" w:eastAsia="en-GB"/>
    </w:rPr>
  </w:style>
  <w:style w:type="paragraph" w:styleId="Title">
    <w:name w:val="Title"/>
    <w:basedOn w:val="Normal"/>
    <w:next w:val="Normal"/>
    <w:link w:val="TtuloCar"/>
    <w:uiPriority w:val="10"/>
    <w:qFormat/>
    <w:rsid w:val="009863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DefaultParagraphFont"/>
    <w:link w:val="Title"/>
    <w:uiPriority w:val="10"/>
    <w:rsid w:val="00986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986332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86332"/>
    <w:rPr>
      <w:color w:val="0000FF" w:themeColor="hyperlink"/>
      <w:u w:val="single"/>
    </w:rPr>
  </w:style>
  <w:style w:type="paragraph" w:styleId="NoSpacing">
    <w:name w:val="No Spacing"/>
    <w:link w:val="SinespaciadoCar"/>
    <w:uiPriority w:val="1"/>
    <w:qFormat/>
    <w:rsid w:val="00986332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DefaultParagraphFont"/>
    <w:link w:val="NoSpacing"/>
    <w:uiPriority w:val="1"/>
    <w:rsid w:val="00986332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8247C"/>
    <w:rPr>
      <w:color w:val="800080" w:themeColor="followedHyperlink"/>
      <w:u w:val="single"/>
    </w:rPr>
  </w:style>
  <w:style w:type="paragraph" w:customStyle="1" w:styleId="m-217611266759249913m-3284454370162093930gmail-msonormal">
    <w:name w:val="m_-217611266759249913m-3284454370162093930gmail-msonormal"/>
    <w:basedOn w:val="Normal"/>
    <w:rsid w:val="002E29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tectioncluster.org/en/areas-of-responsibility/protection-mainstreaming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58F4-7BCA-4D4B-8CBF-83AB4892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</dc:creator>
  <cp:lastModifiedBy>Michelle Markey</cp:lastModifiedBy>
  <cp:revision>2</cp:revision>
  <dcterms:created xsi:type="dcterms:W3CDTF">2019-02-13T19:16:00Z</dcterms:created>
  <dcterms:modified xsi:type="dcterms:W3CDTF">2019-02-13T19:16:00Z</dcterms:modified>
</cp:coreProperties>
</file>