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CFF6A" w14:textId="77777777" w:rsidR="003E7BAE" w:rsidRPr="00EB44CA" w:rsidRDefault="007758FD" w:rsidP="004E453D">
      <w:pPr>
        <w:pStyle w:val="Title"/>
        <w:rPr>
          <w:rStyle w:val="IntenseEmphasis"/>
          <w:rFonts w:asciiTheme="minorHAnsi" w:hAnsiTheme="minorHAnsi" w:cstheme="minorHAnsi"/>
          <w:sz w:val="36"/>
          <w:szCs w:val="36"/>
        </w:rPr>
      </w:pPr>
      <w:bookmarkStart w:id="0" w:name="_GoBack"/>
      <w:bookmarkEnd w:id="0"/>
      <w:r w:rsidRPr="00EB44CA">
        <w:rPr>
          <w:rStyle w:val="IntenseEmphasis"/>
          <w:rFonts w:asciiTheme="minorHAnsi" w:hAnsiTheme="minorHAnsi" w:cstheme="minorHAnsi"/>
          <w:sz w:val="36"/>
          <w:szCs w:val="36"/>
        </w:rPr>
        <w:t xml:space="preserve">BRIEFING NOTE: </w:t>
      </w:r>
      <w:r w:rsidR="008A764E" w:rsidRPr="00EB44CA">
        <w:rPr>
          <w:rStyle w:val="IntenseEmphasis"/>
          <w:rFonts w:asciiTheme="minorHAnsi" w:hAnsiTheme="minorHAnsi" w:cstheme="minorHAnsi"/>
          <w:sz w:val="36"/>
          <w:szCs w:val="36"/>
        </w:rPr>
        <w:t>Protection Mainstreaming</w:t>
      </w:r>
      <w:r w:rsidR="006B7F14">
        <w:rPr>
          <w:rStyle w:val="IntenseEmphasis"/>
          <w:rFonts w:asciiTheme="minorHAnsi" w:hAnsiTheme="minorHAnsi" w:cstheme="minorHAnsi"/>
          <w:sz w:val="36"/>
          <w:szCs w:val="36"/>
        </w:rPr>
        <w:t>/ Safe</w:t>
      </w:r>
      <w:r w:rsidR="00A86FC2">
        <w:rPr>
          <w:rStyle w:val="IntenseEmphasis"/>
          <w:rFonts w:asciiTheme="minorHAnsi" w:hAnsiTheme="minorHAnsi" w:cstheme="minorHAnsi"/>
          <w:sz w:val="36"/>
          <w:szCs w:val="36"/>
        </w:rPr>
        <w:t xml:space="preserve"> &amp; Dignified</w:t>
      </w:r>
      <w:r w:rsidR="006B7F14">
        <w:rPr>
          <w:rStyle w:val="IntenseEmphasis"/>
          <w:rFonts w:asciiTheme="minorHAnsi" w:hAnsiTheme="minorHAnsi" w:cstheme="minorHAnsi"/>
          <w:sz w:val="36"/>
          <w:szCs w:val="36"/>
        </w:rPr>
        <w:t xml:space="preserve"> Programming</w:t>
      </w:r>
      <w:r w:rsidR="0019130D">
        <w:rPr>
          <w:rStyle w:val="FootnoteReference"/>
          <w:rFonts w:cstheme="minorHAnsi"/>
          <w:b/>
          <w:bCs/>
          <w:i/>
          <w:iCs/>
          <w:color w:val="4F81BD" w:themeColor="accent1"/>
          <w:sz w:val="24"/>
          <w:szCs w:val="24"/>
        </w:rPr>
        <w:footnoteReference w:id="1"/>
      </w:r>
    </w:p>
    <w:p w14:paraId="4CCF32EA" w14:textId="77777777" w:rsidR="007758FD" w:rsidRDefault="007758FD" w:rsidP="007758FD">
      <w:pPr>
        <w:spacing w:after="0" w:line="240" w:lineRule="auto"/>
        <w:jc w:val="both"/>
        <w:rPr>
          <w:rStyle w:val="IntenseEmphasis"/>
          <w:rFonts w:cstheme="minorHAnsi"/>
          <w:sz w:val="24"/>
          <w:szCs w:val="24"/>
        </w:rPr>
      </w:pPr>
      <w:r w:rsidRPr="007F69F4">
        <w:rPr>
          <w:rStyle w:val="IntenseEmphasis"/>
          <w:rFonts w:cstheme="minorHAnsi"/>
          <w:sz w:val="24"/>
          <w:szCs w:val="24"/>
        </w:rPr>
        <w:t>Wh</w:t>
      </w:r>
      <w:r>
        <w:rPr>
          <w:rStyle w:val="IntenseEmphasis"/>
          <w:rFonts w:cstheme="minorHAnsi"/>
          <w:sz w:val="24"/>
          <w:szCs w:val="24"/>
        </w:rPr>
        <w:t xml:space="preserve">at is protection mainstreaming? </w:t>
      </w:r>
    </w:p>
    <w:p w14:paraId="43E117B2" w14:textId="77777777" w:rsidR="00E318B8" w:rsidRDefault="00FC2072" w:rsidP="00E318B8">
      <w:pPr>
        <w:spacing w:after="0" w:line="240" w:lineRule="auto"/>
        <w:jc w:val="both"/>
        <w:rPr>
          <w:rFonts w:ascii="Calibri" w:hAnsi="Calibri" w:cs="Calibri"/>
          <w:sz w:val="21"/>
          <w:szCs w:val="21"/>
        </w:rPr>
      </w:pPr>
      <w:r w:rsidRPr="00DA3534">
        <w:rPr>
          <w:rFonts w:ascii="Calibri" w:hAnsi="Calibri" w:cs="Calibri"/>
          <w:sz w:val="21"/>
          <w:szCs w:val="21"/>
        </w:rPr>
        <w:t>Protection mainstreaming is the process of incorporating protection principles and promoting meaningful access, safety and dignity in humanitarian aid.</w:t>
      </w:r>
      <w:r w:rsidR="00B160FA" w:rsidRPr="00DA3534">
        <w:rPr>
          <w:rFonts w:ascii="Calibri" w:hAnsi="Calibri" w:cs="Calibri"/>
          <w:sz w:val="21"/>
          <w:szCs w:val="21"/>
        </w:rPr>
        <w:t xml:space="preserve"> </w:t>
      </w:r>
      <w:r w:rsidR="0026145B" w:rsidRPr="00DA3534">
        <w:rPr>
          <w:rFonts w:ascii="Calibri" w:hAnsi="Calibri" w:cs="Calibri"/>
          <w:sz w:val="21"/>
          <w:szCs w:val="21"/>
        </w:rPr>
        <w:t xml:space="preserve">The </w:t>
      </w:r>
      <w:r w:rsidR="007758FD" w:rsidRPr="00EB44CA">
        <w:rPr>
          <w:rFonts w:ascii="Calibri" w:hAnsi="Calibri" w:cs="Calibri"/>
          <w:sz w:val="21"/>
          <w:szCs w:val="21"/>
        </w:rPr>
        <w:t xml:space="preserve">guiding </w:t>
      </w:r>
      <w:r w:rsidR="0026145B" w:rsidRPr="00EB44CA">
        <w:rPr>
          <w:rFonts w:ascii="Calibri" w:hAnsi="Calibri" w:cs="Calibri"/>
          <w:sz w:val="21"/>
          <w:szCs w:val="21"/>
        </w:rPr>
        <w:t>principles</w:t>
      </w:r>
      <w:r w:rsidR="0026145B" w:rsidRPr="00DA3534">
        <w:rPr>
          <w:rFonts w:ascii="Calibri" w:hAnsi="Calibri" w:cs="Calibri"/>
          <w:sz w:val="21"/>
          <w:szCs w:val="21"/>
        </w:rPr>
        <w:t xml:space="preserve"> that must be taken into account in all humanitarian activities are</w:t>
      </w:r>
      <w:r w:rsidR="00807849" w:rsidRPr="00DA3534">
        <w:rPr>
          <w:rStyle w:val="FootnoteReference"/>
          <w:rFonts w:ascii="Calibri" w:hAnsi="Calibri" w:cs="Calibri"/>
          <w:sz w:val="21"/>
          <w:szCs w:val="21"/>
        </w:rPr>
        <w:footnoteReference w:id="2"/>
      </w:r>
      <w:r w:rsidR="0026145B" w:rsidRPr="00DA3534">
        <w:rPr>
          <w:rFonts w:ascii="Calibri" w:hAnsi="Calibri" w:cs="Calibri"/>
          <w:sz w:val="21"/>
          <w:szCs w:val="21"/>
        </w:rPr>
        <w:t>:</w:t>
      </w:r>
    </w:p>
    <w:p w14:paraId="2D56D597" w14:textId="77777777" w:rsidR="00E318B8" w:rsidRPr="001C7B5B" w:rsidRDefault="00B67A43" w:rsidP="001C7B5B">
      <w:pPr>
        <w:pStyle w:val="ListParagraph"/>
        <w:numPr>
          <w:ilvl w:val="0"/>
          <w:numId w:val="14"/>
        </w:numPr>
        <w:spacing w:after="0" w:line="240" w:lineRule="auto"/>
        <w:jc w:val="both"/>
        <w:rPr>
          <w:rFonts w:ascii="Calibri" w:eastAsia="Times New Roman" w:hAnsi="Calibri" w:cs="Calibri"/>
          <w:sz w:val="21"/>
          <w:szCs w:val="21"/>
        </w:rPr>
      </w:pPr>
      <w:r w:rsidRPr="005015B8">
        <w:rPr>
          <w:rFonts w:ascii="Calibri" w:hAnsi="Calibri" w:cs="Calibri"/>
          <w:b/>
          <w:sz w:val="21"/>
          <w:szCs w:val="21"/>
        </w:rPr>
        <w:t>Prioritise safety and dignity and a</w:t>
      </w:r>
      <w:r w:rsidR="004638A8" w:rsidRPr="005015B8">
        <w:rPr>
          <w:rFonts w:ascii="Calibri" w:hAnsi="Calibri" w:cs="Calibri"/>
          <w:b/>
          <w:sz w:val="21"/>
          <w:szCs w:val="21"/>
        </w:rPr>
        <w:t>void causing harm</w:t>
      </w:r>
      <w:r w:rsidR="00C11C44" w:rsidRPr="005015B8">
        <w:rPr>
          <w:rFonts w:ascii="Calibri" w:hAnsi="Calibri" w:cs="Calibri"/>
          <w:b/>
          <w:sz w:val="21"/>
          <w:szCs w:val="21"/>
        </w:rPr>
        <w:t>:</w:t>
      </w:r>
      <w:r w:rsidR="00C11C44" w:rsidRPr="005015B8">
        <w:rPr>
          <w:rFonts w:ascii="Calibri" w:eastAsia="Times New Roman" w:hAnsi="Calibri" w:cs="Calibri"/>
          <w:sz w:val="21"/>
          <w:szCs w:val="21"/>
        </w:rPr>
        <w:t xml:space="preserve"> prevent and minimis</w:t>
      </w:r>
      <w:r w:rsidR="004638A8" w:rsidRPr="005015B8">
        <w:rPr>
          <w:rFonts w:ascii="Calibri" w:eastAsia="Times New Roman" w:hAnsi="Calibri" w:cs="Calibri"/>
          <w:sz w:val="21"/>
          <w:szCs w:val="21"/>
        </w:rPr>
        <w:t>e as much as possible any unintended negative effects of your intervention which can increase people's vulnerability to physical and psychosocial risks</w:t>
      </w:r>
      <w:r w:rsidR="00C11C44" w:rsidRPr="005015B8">
        <w:rPr>
          <w:rFonts w:ascii="Calibri" w:eastAsia="Times New Roman" w:hAnsi="Calibri" w:cs="Calibri"/>
          <w:sz w:val="21"/>
          <w:szCs w:val="21"/>
        </w:rPr>
        <w:t>.</w:t>
      </w:r>
    </w:p>
    <w:p w14:paraId="774CD818" w14:textId="77777777" w:rsidR="001272BA" w:rsidRPr="005015B8" w:rsidRDefault="00712C14" w:rsidP="00E318B8">
      <w:pPr>
        <w:pStyle w:val="ListParagraph"/>
        <w:numPr>
          <w:ilvl w:val="0"/>
          <w:numId w:val="14"/>
        </w:numPr>
        <w:shd w:val="clear" w:color="auto" w:fill="FEFFFE"/>
        <w:spacing w:before="100" w:beforeAutospacing="1" w:after="100" w:afterAutospacing="1" w:line="240" w:lineRule="auto"/>
        <w:jc w:val="both"/>
        <w:rPr>
          <w:rFonts w:ascii="Calibri" w:eastAsia="Times New Roman" w:hAnsi="Calibri" w:cs="Calibri"/>
          <w:sz w:val="21"/>
          <w:szCs w:val="21"/>
        </w:rPr>
      </w:pPr>
      <w:r>
        <w:rPr>
          <w:rFonts w:ascii="Calibri" w:hAnsi="Calibri" w:cs="Calibri"/>
          <w:b/>
          <w:sz w:val="21"/>
          <w:szCs w:val="21"/>
        </w:rPr>
        <w:t>Equality/m</w:t>
      </w:r>
      <w:r w:rsidR="00B67A43" w:rsidRPr="005015B8">
        <w:rPr>
          <w:rFonts w:ascii="Calibri" w:hAnsi="Calibri" w:cs="Calibri"/>
          <w:b/>
          <w:sz w:val="21"/>
          <w:szCs w:val="21"/>
        </w:rPr>
        <w:t>eaningful access</w:t>
      </w:r>
      <w:r w:rsidR="004638A8" w:rsidRPr="005015B8">
        <w:rPr>
          <w:rFonts w:ascii="Calibri" w:hAnsi="Calibri" w:cs="Calibri"/>
          <w:b/>
          <w:sz w:val="21"/>
          <w:szCs w:val="21"/>
        </w:rPr>
        <w:t>:</w:t>
      </w:r>
      <w:r w:rsidR="004638A8" w:rsidRPr="005015B8">
        <w:rPr>
          <w:rFonts w:ascii="Calibri" w:eastAsia="Times New Roman" w:hAnsi="Calibri" w:cs="Calibri"/>
          <w:sz w:val="21"/>
          <w:szCs w:val="21"/>
        </w:rPr>
        <w:t xml:space="preserve"> arrange for people’s access to impartial assistance and services - in proportion to need and without any barriers (i.e. discrimination). Pay special attention to individuals and groups who may be particularly vulnerable or have difficulty accessing assistance and services.</w:t>
      </w:r>
    </w:p>
    <w:p w14:paraId="5A0B138B" w14:textId="77777777" w:rsidR="001272BA" w:rsidRPr="005015B8" w:rsidRDefault="004638A8" w:rsidP="00E318B8">
      <w:pPr>
        <w:pStyle w:val="ListParagraph"/>
        <w:numPr>
          <w:ilvl w:val="0"/>
          <w:numId w:val="14"/>
        </w:numPr>
        <w:shd w:val="clear" w:color="auto" w:fill="FEFFFE"/>
        <w:spacing w:before="100" w:beforeAutospacing="1" w:after="100" w:afterAutospacing="1" w:line="240" w:lineRule="auto"/>
        <w:jc w:val="both"/>
        <w:rPr>
          <w:rFonts w:ascii="Calibri" w:eastAsia="Times New Roman" w:hAnsi="Calibri" w:cs="Calibri"/>
          <w:sz w:val="21"/>
          <w:szCs w:val="21"/>
        </w:rPr>
      </w:pPr>
      <w:r w:rsidRPr="005015B8">
        <w:rPr>
          <w:rFonts w:ascii="Calibri" w:hAnsi="Calibri" w:cs="Calibri"/>
          <w:b/>
          <w:sz w:val="21"/>
          <w:szCs w:val="21"/>
        </w:rPr>
        <w:t>Accountability to beneficiaries:</w:t>
      </w:r>
      <w:r w:rsidRPr="005015B8">
        <w:rPr>
          <w:rFonts w:ascii="Calibri" w:eastAsia="Times New Roman" w:hAnsi="Calibri" w:cs="Calibri"/>
          <w:sz w:val="21"/>
          <w:szCs w:val="21"/>
        </w:rPr>
        <w:t xml:space="preserve"> set-up appropriate mechanisms through which affected populations can measure the adequacy of interventions, or address concerns and complaints.</w:t>
      </w:r>
    </w:p>
    <w:p w14:paraId="75F99B07" w14:textId="77777777" w:rsidR="001272BA" w:rsidRPr="009C2F99" w:rsidRDefault="004638A8" w:rsidP="00E318B8">
      <w:pPr>
        <w:pStyle w:val="ListParagraph"/>
        <w:numPr>
          <w:ilvl w:val="0"/>
          <w:numId w:val="14"/>
        </w:numPr>
        <w:shd w:val="clear" w:color="auto" w:fill="FEFFFE"/>
        <w:spacing w:before="100" w:beforeAutospacing="1" w:after="100" w:afterAutospacing="1" w:line="240" w:lineRule="auto"/>
        <w:ind w:left="284" w:hanging="284"/>
        <w:jc w:val="both"/>
        <w:rPr>
          <w:rFonts w:ascii="Calibri" w:eastAsia="Times New Roman" w:hAnsi="Calibri" w:cs="Calibri"/>
          <w:sz w:val="21"/>
          <w:szCs w:val="21"/>
        </w:rPr>
      </w:pPr>
      <w:r w:rsidRPr="005015B8">
        <w:rPr>
          <w:rFonts w:ascii="Calibri" w:hAnsi="Calibri" w:cs="Calibri"/>
          <w:b/>
          <w:sz w:val="21"/>
          <w:szCs w:val="21"/>
        </w:rPr>
        <w:t>Participation and empowerment:</w:t>
      </w:r>
      <w:r w:rsidRPr="005015B8">
        <w:rPr>
          <w:rFonts w:ascii="Calibri" w:eastAsia="Times New Roman" w:hAnsi="Calibri" w:cs="Calibri"/>
          <w:sz w:val="21"/>
          <w:szCs w:val="21"/>
        </w:rPr>
        <w:t xml:space="preserve"> support the development of self-protection capacities and assist people to claim their ri</w:t>
      </w:r>
      <w:r w:rsidRPr="009C2F99">
        <w:rPr>
          <w:rFonts w:ascii="Calibri" w:eastAsia="Times New Roman" w:hAnsi="Calibri" w:cs="Calibri"/>
          <w:sz w:val="21"/>
          <w:szCs w:val="21"/>
        </w:rPr>
        <w:t>ghts, including - not exclusively - the rights to shelter, food, water and sanitation, health, and education</w:t>
      </w:r>
      <w:r w:rsidR="009C2F99" w:rsidRPr="009C2F99">
        <w:rPr>
          <w:rFonts w:ascii="Calibri" w:hAnsi="Calibri" w:cs="Calibri"/>
          <w:sz w:val="21"/>
          <w:szCs w:val="21"/>
        </w:rPr>
        <w:t>.</w:t>
      </w:r>
    </w:p>
    <w:p w14:paraId="03BD4C17" w14:textId="77777777" w:rsidR="009402A5" w:rsidRPr="009402A5" w:rsidRDefault="008522DE" w:rsidP="009402A5">
      <w:pPr>
        <w:spacing w:after="0" w:line="240" w:lineRule="auto"/>
        <w:jc w:val="both"/>
        <w:rPr>
          <w:rStyle w:val="IntenseEmphasis"/>
          <w:rFonts w:cstheme="minorHAnsi"/>
          <w:sz w:val="24"/>
          <w:szCs w:val="24"/>
        </w:rPr>
      </w:pPr>
      <w:r w:rsidRPr="009402A5">
        <w:rPr>
          <w:rStyle w:val="IntenseEmphasis"/>
          <w:rFonts w:cstheme="minorHAnsi"/>
          <w:sz w:val="24"/>
          <w:szCs w:val="24"/>
        </w:rPr>
        <w:t>How does protection mainstreaming relate to protection?</w:t>
      </w:r>
    </w:p>
    <w:p w14:paraId="101CBB3E" w14:textId="77777777" w:rsidR="00B30088" w:rsidRDefault="00B30088" w:rsidP="00B30088">
      <w:pPr>
        <w:spacing w:after="0" w:line="240" w:lineRule="auto"/>
        <w:jc w:val="both"/>
        <w:rPr>
          <w:rFonts w:ascii="Calibri" w:hAnsi="Calibri" w:cs="Calibri"/>
          <w:sz w:val="21"/>
          <w:szCs w:val="21"/>
        </w:rPr>
      </w:pPr>
      <w:r>
        <w:rPr>
          <w:rFonts w:ascii="Calibri" w:hAnsi="Calibri" w:cs="Calibri"/>
          <w:b/>
          <w:sz w:val="21"/>
          <w:szCs w:val="21"/>
        </w:rPr>
        <w:t>“</w:t>
      </w:r>
      <w:r w:rsidRPr="005247DB">
        <w:rPr>
          <w:rFonts w:ascii="Calibri" w:hAnsi="Calibri" w:cs="Calibri"/>
          <w:b/>
          <w:sz w:val="21"/>
          <w:szCs w:val="21"/>
        </w:rPr>
        <w:t>Protection mainstreaming</w:t>
      </w:r>
      <w:r>
        <w:rPr>
          <w:rFonts w:ascii="Calibri" w:hAnsi="Calibri" w:cs="Calibri"/>
          <w:b/>
          <w:sz w:val="21"/>
          <w:szCs w:val="21"/>
        </w:rPr>
        <w:t>”</w:t>
      </w:r>
      <w:r w:rsidRPr="009C2F99">
        <w:rPr>
          <w:rFonts w:ascii="Calibri" w:hAnsi="Calibri" w:cs="Calibri"/>
          <w:sz w:val="21"/>
          <w:szCs w:val="21"/>
        </w:rPr>
        <w:t xml:space="preserve"> relates to the </w:t>
      </w:r>
      <w:r w:rsidRPr="004E453D">
        <w:rPr>
          <w:rFonts w:ascii="Calibri" w:hAnsi="Calibri" w:cs="Calibri"/>
          <w:sz w:val="21"/>
          <w:szCs w:val="21"/>
        </w:rPr>
        <w:t>approach</w:t>
      </w:r>
      <w:r w:rsidRPr="009C2F99">
        <w:rPr>
          <w:rFonts w:ascii="Calibri" w:hAnsi="Calibri" w:cs="Calibri"/>
          <w:sz w:val="21"/>
          <w:szCs w:val="21"/>
        </w:rPr>
        <w:t xml:space="preserve"> we take </w:t>
      </w:r>
      <w:r>
        <w:rPr>
          <w:rFonts w:ascii="Calibri" w:hAnsi="Calibri" w:cs="Calibri"/>
          <w:sz w:val="21"/>
          <w:szCs w:val="21"/>
        </w:rPr>
        <w:t xml:space="preserve">in all our </w:t>
      </w:r>
      <w:r w:rsidRPr="009C2F99">
        <w:rPr>
          <w:rFonts w:ascii="Calibri" w:hAnsi="Calibri" w:cs="Calibri"/>
          <w:sz w:val="21"/>
          <w:szCs w:val="21"/>
        </w:rPr>
        <w:t>programmes</w:t>
      </w:r>
      <w:r>
        <w:rPr>
          <w:rFonts w:ascii="Calibri" w:hAnsi="Calibri" w:cs="Calibri"/>
          <w:sz w:val="21"/>
          <w:szCs w:val="21"/>
        </w:rPr>
        <w:t xml:space="preserve">. It does not mean changing WHAT we do but means we should think about </w:t>
      </w:r>
      <w:r w:rsidRPr="005247DB">
        <w:rPr>
          <w:rFonts w:ascii="Calibri" w:hAnsi="Calibri" w:cs="Calibri"/>
          <w:sz w:val="21"/>
          <w:szCs w:val="21"/>
        </w:rPr>
        <w:t>HOW</w:t>
      </w:r>
      <w:r w:rsidRPr="009C2F99">
        <w:rPr>
          <w:rFonts w:ascii="Calibri" w:hAnsi="Calibri" w:cs="Calibri"/>
          <w:sz w:val="21"/>
          <w:szCs w:val="21"/>
        </w:rPr>
        <w:t xml:space="preserve"> </w:t>
      </w:r>
      <w:r>
        <w:rPr>
          <w:rFonts w:ascii="Calibri" w:hAnsi="Calibri" w:cs="Calibri"/>
          <w:sz w:val="21"/>
          <w:szCs w:val="21"/>
        </w:rPr>
        <w:t>assistance is provided</w:t>
      </w:r>
      <w:r w:rsidRPr="009C2F99">
        <w:rPr>
          <w:rFonts w:ascii="Calibri" w:hAnsi="Calibri" w:cs="Calibri"/>
          <w:sz w:val="21"/>
          <w:szCs w:val="21"/>
        </w:rPr>
        <w:t>.</w:t>
      </w:r>
      <w:r>
        <w:rPr>
          <w:rFonts w:ascii="Calibri" w:hAnsi="Calibri" w:cs="Calibri"/>
          <w:sz w:val="21"/>
          <w:szCs w:val="21"/>
        </w:rPr>
        <w:t xml:space="preserve"> This is essentially about safe, good quality programming. It is the responsibility of all humanitarian actors and should be applied to all projects (green</w:t>
      </w:r>
      <w:r>
        <w:rPr>
          <w:rStyle w:val="FootnoteReference"/>
          <w:rFonts w:ascii="Calibri" w:hAnsi="Calibri" w:cs="Calibri"/>
          <w:sz w:val="21"/>
          <w:szCs w:val="21"/>
        </w:rPr>
        <w:footnoteReference w:id="3"/>
      </w:r>
      <w:r>
        <w:rPr>
          <w:rFonts w:ascii="Calibri" w:hAnsi="Calibri" w:cs="Calibri"/>
          <w:sz w:val="21"/>
          <w:szCs w:val="21"/>
        </w:rPr>
        <w:t xml:space="preserve">). </w:t>
      </w:r>
      <w:r w:rsidR="00D55DF9">
        <w:rPr>
          <w:rFonts w:ascii="Calibri" w:hAnsi="Calibri" w:cs="Calibri"/>
          <w:sz w:val="21"/>
          <w:szCs w:val="21"/>
        </w:rPr>
        <w:t>It forms the base of the triangle because it provides the foundation for all other protection work, i.e. integration and stand-alone projects should always incorporate the guiding principles and core components of protection mainstreaming.</w:t>
      </w:r>
      <w:r>
        <w:rPr>
          <w:rFonts w:ascii="Calibri" w:hAnsi="Calibri" w:cs="Calibri"/>
          <w:sz w:val="21"/>
          <w:szCs w:val="21"/>
        </w:rPr>
        <w:t xml:space="preserve"> </w:t>
      </w:r>
    </w:p>
    <w:p w14:paraId="3947E56F" w14:textId="77777777" w:rsidR="005247DB" w:rsidRDefault="005247DB" w:rsidP="005247DB">
      <w:pPr>
        <w:spacing w:after="0" w:line="240" w:lineRule="auto"/>
        <w:jc w:val="both"/>
        <w:rPr>
          <w:rFonts w:ascii="Calibri" w:hAnsi="Calibri" w:cs="Calibri"/>
          <w:sz w:val="21"/>
          <w:szCs w:val="21"/>
        </w:rPr>
      </w:pPr>
    </w:p>
    <w:p w14:paraId="163997BD" w14:textId="77777777" w:rsidR="005247DB" w:rsidRPr="005C13A8" w:rsidRDefault="005247DB" w:rsidP="005247DB">
      <w:pPr>
        <w:spacing w:after="0" w:line="240" w:lineRule="auto"/>
        <w:jc w:val="both"/>
        <w:rPr>
          <w:rStyle w:val="IntenseEmphasis"/>
          <w:rFonts w:ascii="Calibri" w:hAnsi="Calibri" w:cs="Calibri"/>
          <w:b w:val="0"/>
          <w:bCs w:val="0"/>
          <w:i w:val="0"/>
          <w:iCs w:val="0"/>
          <w:color w:val="auto"/>
          <w:sz w:val="21"/>
          <w:szCs w:val="21"/>
        </w:rPr>
      </w:pPr>
      <w:r>
        <w:rPr>
          <w:rFonts w:ascii="Calibri" w:hAnsi="Calibri" w:cs="Calibri"/>
          <w:sz w:val="21"/>
          <w:szCs w:val="21"/>
        </w:rPr>
        <w:t>“</w:t>
      </w:r>
      <w:r>
        <w:rPr>
          <w:rFonts w:ascii="Calibri" w:hAnsi="Calibri" w:cs="Calibri"/>
          <w:b/>
          <w:sz w:val="21"/>
          <w:szCs w:val="21"/>
        </w:rPr>
        <w:t xml:space="preserve">Protection Integration” </w:t>
      </w:r>
      <w:r>
        <w:rPr>
          <w:rFonts w:ascii="Calibri" w:hAnsi="Calibri" w:cs="Calibri"/>
          <w:sz w:val="21"/>
          <w:szCs w:val="21"/>
        </w:rPr>
        <w:t>refers to assistance projects (such as WASH or shelter) that integrate specific protection activities. The overall objective would not usually be related to protection</w:t>
      </w:r>
      <w:r w:rsidR="005C13A8">
        <w:rPr>
          <w:rFonts w:ascii="Calibri" w:hAnsi="Calibri" w:cs="Calibri"/>
          <w:sz w:val="21"/>
          <w:szCs w:val="21"/>
        </w:rPr>
        <w:t xml:space="preserve">. </w:t>
      </w:r>
      <w:r>
        <w:rPr>
          <w:rFonts w:ascii="Calibri" w:hAnsi="Calibri" w:cs="Calibri"/>
          <w:sz w:val="21"/>
          <w:szCs w:val="21"/>
        </w:rPr>
        <w:t xml:space="preserve">Examples include monitoring and reporting on protection threats in a food distribution programme, or providing training on rights in a shelter project. </w:t>
      </w:r>
      <w:r w:rsidR="00415343">
        <w:rPr>
          <w:rFonts w:ascii="Calibri" w:hAnsi="Calibri" w:cs="Calibri"/>
          <w:sz w:val="21"/>
          <w:szCs w:val="21"/>
        </w:rPr>
        <w:t xml:space="preserve">Some specific protection knowledge and skills are required to undertake these activities which comprise a </w:t>
      </w:r>
      <w:r w:rsidR="00B30088">
        <w:rPr>
          <w:rFonts w:ascii="Calibri" w:hAnsi="Calibri" w:cs="Calibri"/>
          <w:sz w:val="21"/>
          <w:szCs w:val="21"/>
        </w:rPr>
        <w:t>smaller</w:t>
      </w:r>
      <w:r w:rsidR="00415343">
        <w:rPr>
          <w:rFonts w:ascii="Calibri" w:hAnsi="Calibri" w:cs="Calibri"/>
          <w:sz w:val="21"/>
          <w:szCs w:val="21"/>
        </w:rPr>
        <w:t xml:space="preserve"> percentage of humanitarian projects</w:t>
      </w:r>
      <w:r w:rsidR="00E73726">
        <w:rPr>
          <w:rFonts w:ascii="Calibri" w:hAnsi="Calibri" w:cs="Calibri"/>
          <w:sz w:val="21"/>
          <w:szCs w:val="21"/>
        </w:rPr>
        <w:t xml:space="preserve"> </w:t>
      </w:r>
      <w:r w:rsidR="00B30088">
        <w:rPr>
          <w:rFonts w:ascii="Calibri" w:hAnsi="Calibri" w:cs="Calibri"/>
          <w:sz w:val="21"/>
          <w:szCs w:val="21"/>
        </w:rPr>
        <w:t xml:space="preserve">than at the protection mainstreaming level </w:t>
      </w:r>
      <w:r w:rsidR="00E73726">
        <w:rPr>
          <w:rFonts w:ascii="Calibri" w:hAnsi="Calibri" w:cs="Calibri"/>
          <w:sz w:val="21"/>
          <w:szCs w:val="21"/>
        </w:rPr>
        <w:t>(yellow)</w:t>
      </w:r>
      <w:r>
        <w:rPr>
          <w:rFonts w:ascii="Calibri" w:hAnsi="Calibri" w:cs="Calibri"/>
          <w:sz w:val="21"/>
          <w:szCs w:val="21"/>
        </w:rPr>
        <w:t xml:space="preserve">. </w:t>
      </w:r>
    </w:p>
    <w:p w14:paraId="3A7EDAEB" w14:textId="77777777" w:rsidR="005C13A8" w:rsidRDefault="005C13A8" w:rsidP="005247DB">
      <w:pPr>
        <w:spacing w:after="0" w:line="240" w:lineRule="auto"/>
        <w:jc w:val="both"/>
        <w:rPr>
          <w:rStyle w:val="IntenseEmphasis"/>
          <w:rFonts w:eastAsiaTheme="majorEastAsia" w:cstheme="minorHAnsi"/>
          <w:sz w:val="24"/>
          <w:szCs w:val="24"/>
        </w:rPr>
      </w:pPr>
    </w:p>
    <w:p w14:paraId="2FA1381F" w14:textId="77777777" w:rsidR="00B30088" w:rsidRPr="001C7B5B" w:rsidRDefault="00B30088" w:rsidP="00B30088">
      <w:pPr>
        <w:spacing w:after="0" w:line="240" w:lineRule="auto"/>
        <w:jc w:val="both"/>
        <w:rPr>
          <w:rFonts w:eastAsiaTheme="majorEastAsia" w:cstheme="minorHAnsi"/>
          <w:b/>
          <w:bCs/>
          <w:i/>
          <w:iCs/>
          <w:color w:val="4F81BD" w:themeColor="accent1"/>
          <w:sz w:val="24"/>
          <w:szCs w:val="24"/>
        </w:rPr>
      </w:pPr>
      <w:r w:rsidRPr="00E318B8">
        <w:rPr>
          <w:rFonts w:ascii="Calibri" w:hAnsi="Calibri" w:cs="Calibri"/>
          <w:b/>
          <w:sz w:val="21"/>
          <w:szCs w:val="21"/>
        </w:rPr>
        <w:t>“</w:t>
      </w:r>
      <w:r>
        <w:rPr>
          <w:rFonts w:ascii="Calibri" w:hAnsi="Calibri" w:cs="Calibri"/>
          <w:b/>
          <w:sz w:val="21"/>
          <w:szCs w:val="21"/>
        </w:rPr>
        <w:t>S</w:t>
      </w:r>
      <w:r w:rsidRPr="00E318B8">
        <w:rPr>
          <w:rFonts w:ascii="Calibri" w:hAnsi="Calibri" w:cs="Calibri"/>
          <w:b/>
          <w:sz w:val="21"/>
          <w:szCs w:val="21"/>
        </w:rPr>
        <w:t>tand alone protection”</w:t>
      </w:r>
      <w:r>
        <w:rPr>
          <w:rFonts w:ascii="Calibri" w:hAnsi="Calibri" w:cs="Calibri"/>
          <w:sz w:val="21"/>
          <w:szCs w:val="21"/>
        </w:rPr>
        <w:t xml:space="preserve"> is a specific sector. It encompasses activities that directly prevent or respond to acts of violence, coercion, discrimination or deliberate deprivation of services. It includes activities such as the registration of refugees or the demobilisation of child soldiers. Only agencies with specialist expertise should carry out such activities, which usually comprise a small percentage of the total number of humanitarian projects (red). </w:t>
      </w:r>
    </w:p>
    <w:p w14:paraId="56F2D36E" w14:textId="7E7E6FEB" w:rsidR="009402A5" w:rsidRDefault="00305A2E" w:rsidP="00305A2E">
      <w:pPr>
        <w:spacing w:after="0" w:line="240" w:lineRule="auto"/>
        <w:jc w:val="center"/>
        <w:rPr>
          <w:rFonts w:ascii="Calibri" w:hAnsi="Calibri" w:cs="Calibri"/>
          <w:sz w:val="21"/>
          <w:szCs w:val="21"/>
        </w:rPr>
      </w:pPr>
      <w:r>
        <w:rPr>
          <w:rFonts w:ascii="Calibri" w:hAnsi="Calibri" w:cs="Calibri"/>
          <w:noProof/>
          <w:sz w:val="21"/>
          <w:szCs w:val="21"/>
        </w:rPr>
        <w:drawing>
          <wp:inline distT="0" distB="0" distL="0" distR="0" wp14:anchorId="275FA89D" wp14:editId="0C7C2AE0">
            <wp:extent cx="3978747" cy="276907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1751" cy="2785089"/>
                    </a:xfrm>
                    <a:prstGeom prst="rect">
                      <a:avLst/>
                    </a:prstGeom>
                    <a:noFill/>
                  </pic:spPr>
                </pic:pic>
              </a:graphicData>
            </a:graphic>
          </wp:inline>
        </w:drawing>
      </w:r>
    </w:p>
    <w:p w14:paraId="46395DA5" w14:textId="77777777" w:rsidR="00E318B8" w:rsidRPr="007F69F4" w:rsidRDefault="00E318B8" w:rsidP="00E318B8">
      <w:pPr>
        <w:spacing w:after="0" w:line="240" w:lineRule="auto"/>
        <w:jc w:val="both"/>
        <w:rPr>
          <w:rStyle w:val="IntenseEmphasis"/>
          <w:rFonts w:cstheme="minorHAnsi"/>
          <w:b w:val="0"/>
          <w:sz w:val="24"/>
          <w:szCs w:val="24"/>
        </w:rPr>
      </w:pPr>
      <w:r w:rsidRPr="007F69F4">
        <w:rPr>
          <w:rStyle w:val="IntenseEmphasis"/>
          <w:rFonts w:cstheme="minorHAnsi"/>
          <w:sz w:val="24"/>
          <w:szCs w:val="24"/>
        </w:rPr>
        <w:t xml:space="preserve">Why is protection mainstreaming important? </w:t>
      </w:r>
    </w:p>
    <w:p w14:paraId="21CA652D" w14:textId="77777777" w:rsidR="00E318B8" w:rsidRDefault="00323D2F" w:rsidP="00E318B8">
      <w:pPr>
        <w:spacing w:after="0" w:line="240" w:lineRule="auto"/>
        <w:jc w:val="both"/>
        <w:rPr>
          <w:rFonts w:ascii="Calibri" w:hAnsi="Calibri" w:cs="Calibri"/>
          <w:sz w:val="21"/>
          <w:szCs w:val="21"/>
        </w:rPr>
      </w:pPr>
      <w:r w:rsidRPr="00394686">
        <w:rPr>
          <w:rFonts w:ascii="Calibri" w:hAnsi="Calibri" w:cs="Calibri"/>
          <w:sz w:val="21"/>
          <w:szCs w:val="21"/>
        </w:rPr>
        <w:lastRenderedPageBreak/>
        <w:t xml:space="preserve">Protection mainstreaming </w:t>
      </w:r>
      <w:r>
        <w:rPr>
          <w:rFonts w:ascii="Calibri" w:hAnsi="Calibri" w:cs="Calibri"/>
          <w:sz w:val="21"/>
          <w:szCs w:val="21"/>
        </w:rPr>
        <w:t>can</w:t>
      </w:r>
      <w:r w:rsidRPr="00DA3534">
        <w:rPr>
          <w:rFonts w:ascii="Calibri" w:hAnsi="Calibri" w:cs="Calibri"/>
          <w:sz w:val="21"/>
          <w:szCs w:val="21"/>
        </w:rPr>
        <w:t xml:space="preserve"> help us </w:t>
      </w:r>
      <w:r w:rsidRPr="00F24CDF">
        <w:rPr>
          <w:rFonts w:ascii="Calibri" w:hAnsi="Calibri" w:cs="Calibri"/>
          <w:sz w:val="21"/>
          <w:szCs w:val="21"/>
        </w:rPr>
        <w:t xml:space="preserve">improve </w:t>
      </w:r>
      <w:r>
        <w:rPr>
          <w:rFonts w:ascii="Calibri" w:hAnsi="Calibri" w:cs="Calibri"/>
          <w:sz w:val="21"/>
          <w:szCs w:val="21"/>
        </w:rPr>
        <w:t>the quality of</w:t>
      </w:r>
      <w:r w:rsidRPr="00F24CDF">
        <w:rPr>
          <w:rFonts w:ascii="Calibri" w:hAnsi="Calibri" w:cs="Calibri"/>
          <w:sz w:val="21"/>
          <w:szCs w:val="21"/>
        </w:rPr>
        <w:t xml:space="preserve"> humanitarian </w:t>
      </w:r>
      <w:r>
        <w:rPr>
          <w:rFonts w:ascii="Calibri" w:hAnsi="Calibri" w:cs="Calibri"/>
          <w:sz w:val="21"/>
          <w:szCs w:val="21"/>
        </w:rPr>
        <w:t xml:space="preserve">programming by ensuring </w:t>
      </w:r>
      <w:r w:rsidRPr="00DA3534">
        <w:rPr>
          <w:rFonts w:ascii="Calibri" w:hAnsi="Calibri" w:cs="Calibri"/>
          <w:sz w:val="21"/>
          <w:szCs w:val="21"/>
        </w:rPr>
        <w:t xml:space="preserve">the most vulnerable </w:t>
      </w:r>
      <w:r>
        <w:rPr>
          <w:rFonts w:ascii="Calibri" w:hAnsi="Calibri" w:cs="Calibri"/>
          <w:sz w:val="21"/>
          <w:szCs w:val="21"/>
        </w:rPr>
        <w:t>access assistance that is appropriate and relevant to their needs and delivered in a safe and dignified way</w:t>
      </w:r>
      <w:r w:rsidRPr="00DA3534">
        <w:rPr>
          <w:rFonts w:ascii="Calibri" w:hAnsi="Calibri" w:cs="Calibri"/>
          <w:sz w:val="21"/>
          <w:szCs w:val="21"/>
        </w:rPr>
        <w:t>.</w:t>
      </w:r>
      <w:r w:rsidR="00E318B8" w:rsidRPr="00DA3534">
        <w:rPr>
          <w:rFonts w:ascii="Calibri" w:hAnsi="Calibri" w:cs="Calibri"/>
          <w:sz w:val="21"/>
          <w:szCs w:val="21"/>
        </w:rPr>
        <w:t xml:space="preserve"> </w:t>
      </w:r>
    </w:p>
    <w:p w14:paraId="6C9827D7" w14:textId="77777777" w:rsidR="005247DB" w:rsidRPr="00DA3534" w:rsidRDefault="005247DB" w:rsidP="00E318B8">
      <w:pPr>
        <w:spacing w:after="0" w:line="240" w:lineRule="auto"/>
        <w:jc w:val="both"/>
        <w:rPr>
          <w:rFonts w:ascii="Calibri" w:hAnsi="Calibri" w:cs="Calibri"/>
          <w:sz w:val="21"/>
          <w:szCs w:val="21"/>
        </w:rPr>
      </w:pPr>
    </w:p>
    <w:p w14:paraId="243D61A9" w14:textId="77777777" w:rsidR="00270E3B" w:rsidRDefault="00E318B8" w:rsidP="00270E3B">
      <w:pPr>
        <w:spacing w:line="240" w:lineRule="auto"/>
        <w:jc w:val="both"/>
        <w:rPr>
          <w:rFonts w:ascii="Calibri" w:hAnsi="Calibri" w:cs="Calibri"/>
          <w:sz w:val="21"/>
          <w:szCs w:val="21"/>
        </w:rPr>
      </w:pPr>
      <w:r w:rsidRPr="00DA3534">
        <w:rPr>
          <w:rFonts w:ascii="Calibri" w:hAnsi="Calibri" w:cs="Calibri"/>
          <w:sz w:val="21"/>
          <w:szCs w:val="21"/>
        </w:rPr>
        <w:t xml:space="preserve">We also have an </w:t>
      </w:r>
      <w:r w:rsidRPr="00F24CDF">
        <w:rPr>
          <w:rFonts w:ascii="Calibri" w:hAnsi="Calibri" w:cs="Calibri"/>
          <w:sz w:val="21"/>
          <w:szCs w:val="21"/>
        </w:rPr>
        <w:t xml:space="preserve">ethical responsibility </w:t>
      </w:r>
      <w:r w:rsidRPr="00DA3534">
        <w:rPr>
          <w:rFonts w:ascii="Calibri" w:hAnsi="Calibri" w:cs="Calibri"/>
          <w:sz w:val="21"/>
          <w:szCs w:val="21"/>
        </w:rPr>
        <w:t xml:space="preserve">to mainstream protection across all </w:t>
      </w:r>
      <w:r w:rsidRPr="009C2F99">
        <w:rPr>
          <w:rFonts w:ascii="Calibri" w:hAnsi="Calibri" w:cs="Calibri"/>
          <w:sz w:val="21"/>
          <w:szCs w:val="21"/>
        </w:rPr>
        <w:t>humanitarian sectors as our work always has</w:t>
      </w:r>
      <w:r>
        <w:rPr>
          <w:rFonts w:ascii="Calibri" w:hAnsi="Calibri" w:cs="Calibri"/>
          <w:sz w:val="21"/>
          <w:szCs w:val="21"/>
        </w:rPr>
        <w:t xml:space="preserve"> </w:t>
      </w:r>
      <w:r w:rsidRPr="009C2F99">
        <w:rPr>
          <w:rFonts w:ascii="Calibri" w:hAnsi="Calibri" w:cs="Calibri"/>
          <w:sz w:val="21"/>
          <w:szCs w:val="21"/>
        </w:rPr>
        <w:t>implications beyond meeting basic need</w:t>
      </w:r>
      <w:r>
        <w:rPr>
          <w:rFonts w:ascii="Calibri" w:hAnsi="Calibri" w:cs="Calibri"/>
          <w:sz w:val="21"/>
          <w:szCs w:val="21"/>
        </w:rPr>
        <w:t>s. I</w:t>
      </w:r>
      <w:r w:rsidRPr="009C2F99">
        <w:rPr>
          <w:rFonts w:ascii="Calibri" w:hAnsi="Calibri" w:cs="Calibri"/>
          <w:sz w:val="21"/>
          <w:szCs w:val="21"/>
        </w:rPr>
        <w:t xml:space="preserve">nterventions can safeguard wellbeing and dignity </w:t>
      </w:r>
      <w:r w:rsidR="005015B8">
        <w:rPr>
          <w:rFonts w:ascii="Calibri" w:hAnsi="Calibri" w:cs="Calibri"/>
          <w:sz w:val="21"/>
          <w:szCs w:val="21"/>
        </w:rPr>
        <w:t>but</w:t>
      </w:r>
      <w:r w:rsidR="00E73726">
        <w:rPr>
          <w:rFonts w:ascii="Calibri" w:hAnsi="Calibri" w:cs="Calibri"/>
          <w:sz w:val="21"/>
          <w:szCs w:val="21"/>
        </w:rPr>
        <w:t xml:space="preserve"> they can </w:t>
      </w:r>
      <w:r w:rsidR="005015B8">
        <w:rPr>
          <w:rFonts w:ascii="Calibri" w:hAnsi="Calibri" w:cs="Calibri"/>
          <w:sz w:val="21"/>
          <w:szCs w:val="21"/>
        </w:rPr>
        <w:t xml:space="preserve">also </w:t>
      </w:r>
      <w:r w:rsidRPr="009C2F99">
        <w:rPr>
          <w:rFonts w:ascii="Calibri" w:hAnsi="Calibri" w:cs="Calibri"/>
          <w:sz w:val="21"/>
          <w:szCs w:val="21"/>
        </w:rPr>
        <w:t xml:space="preserve">put people at increased risk. </w:t>
      </w:r>
      <w:r w:rsidR="00270E3B" w:rsidRPr="00F24CDF">
        <w:rPr>
          <w:rFonts w:ascii="Calibri" w:hAnsi="Calibri" w:cs="Calibri"/>
          <w:sz w:val="21"/>
          <w:szCs w:val="21"/>
        </w:rPr>
        <w:t>Failure to mainstream protection</w:t>
      </w:r>
      <w:r w:rsidR="00270E3B" w:rsidRPr="00DA3534">
        <w:rPr>
          <w:rFonts w:ascii="Calibri" w:hAnsi="Calibri" w:cs="Calibri"/>
          <w:sz w:val="21"/>
          <w:szCs w:val="21"/>
        </w:rPr>
        <w:t xml:space="preserve"> </w:t>
      </w:r>
      <w:r w:rsidR="00270E3B" w:rsidRPr="009C2F99">
        <w:rPr>
          <w:rFonts w:ascii="Calibri" w:hAnsi="Calibri" w:cs="Calibri"/>
          <w:sz w:val="21"/>
          <w:szCs w:val="21"/>
        </w:rPr>
        <w:t>may prevent recovery and resilience building in affected communities.</w:t>
      </w:r>
      <w:r w:rsidR="00270E3B">
        <w:rPr>
          <w:rFonts w:ascii="Calibri" w:hAnsi="Calibri" w:cs="Calibri"/>
          <w:sz w:val="21"/>
          <w:szCs w:val="21"/>
        </w:rPr>
        <w:t xml:space="preserve"> </w:t>
      </w:r>
      <w:r w:rsidR="006466AB">
        <w:rPr>
          <w:rFonts w:ascii="Calibri" w:hAnsi="Calibri" w:cs="Calibri"/>
          <w:sz w:val="21"/>
          <w:szCs w:val="21"/>
        </w:rPr>
        <w:t>O</w:t>
      </w:r>
      <w:r w:rsidR="006466AB" w:rsidRPr="00DA3534">
        <w:rPr>
          <w:rFonts w:ascii="Calibri" w:hAnsi="Calibri" w:cs="Calibri"/>
          <w:sz w:val="21"/>
          <w:szCs w:val="21"/>
        </w:rPr>
        <w:t>ur actions or inactions</w:t>
      </w:r>
      <w:r w:rsidR="006466AB">
        <w:rPr>
          <w:rFonts w:ascii="Calibri" w:hAnsi="Calibri" w:cs="Calibri"/>
          <w:sz w:val="21"/>
          <w:szCs w:val="21"/>
        </w:rPr>
        <w:t xml:space="preserve"> </w:t>
      </w:r>
      <w:r w:rsidR="00270E3B" w:rsidRPr="00DA3534">
        <w:rPr>
          <w:rFonts w:ascii="Calibri" w:hAnsi="Calibri" w:cs="Calibri"/>
          <w:sz w:val="21"/>
          <w:szCs w:val="21"/>
        </w:rPr>
        <w:t xml:space="preserve">may </w:t>
      </w:r>
      <w:r w:rsidR="00270E3B">
        <w:rPr>
          <w:rFonts w:ascii="Calibri" w:hAnsi="Calibri" w:cs="Calibri"/>
          <w:sz w:val="21"/>
          <w:szCs w:val="21"/>
        </w:rPr>
        <w:t xml:space="preserve">also </w:t>
      </w:r>
      <w:r w:rsidR="00270E3B" w:rsidRPr="00DA3534">
        <w:rPr>
          <w:rFonts w:ascii="Calibri" w:hAnsi="Calibri" w:cs="Calibri"/>
          <w:sz w:val="21"/>
          <w:szCs w:val="21"/>
        </w:rPr>
        <w:t>perpetuate discrimination, abuse, violence,</w:t>
      </w:r>
      <w:r w:rsidR="006466AB">
        <w:rPr>
          <w:rFonts w:ascii="Calibri" w:hAnsi="Calibri" w:cs="Calibri"/>
          <w:sz w:val="21"/>
          <w:szCs w:val="21"/>
        </w:rPr>
        <w:t xml:space="preserve"> </w:t>
      </w:r>
      <w:r w:rsidR="00270E3B" w:rsidRPr="00DA3534">
        <w:rPr>
          <w:rFonts w:ascii="Calibri" w:hAnsi="Calibri" w:cs="Calibri"/>
          <w:sz w:val="21"/>
          <w:szCs w:val="21"/>
        </w:rPr>
        <w:t>and exploitation</w:t>
      </w:r>
      <w:r w:rsidR="006466AB">
        <w:rPr>
          <w:rFonts w:ascii="Calibri" w:hAnsi="Calibri" w:cs="Calibri"/>
          <w:sz w:val="21"/>
          <w:szCs w:val="21"/>
        </w:rPr>
        <w:t xml:space="preserve"> and unnecessarily cause competition and conflict in communities</w:t>
      </w:r>
      <w:r w:rsidR="00270E3B" w:rsidRPr="00DA3534">
        <w:rPr>
          <w:rFonts w:ascii="Calibri" w:hAnsi="Calibri" w:cs="Calibri"/>
          <w:sz w:val="21"/>
          <w:szCs w:val="21"/>
        </w:rPr>
        <w:t>.</w:t>
      </w:r>
    </w:p>
    <w:p w14:paraId="61D8624A" w14:textId="77777777" w:rsidR="00E318B8" w:rsidRDefault="005015B8" w:rsidP="00E318B8">
      <w:pPr>
        <w:spacing w:line="240" w:lineRule="auto"/>
        <w:jc w:val="both"/>
        <w:rPr>
          <w:rFonts w:ascii="Calibri" w:hAnsi="Calibri" w:cs="Calibri"/>
          <w:sz w:val="21"/>
          <w:szCs w:val="21"/>
        </w:rPr>
      </w:pPr>
      <w:r>
        <w:rPr>
          <w:rFonts w:ascii="Calibri" w:hAnsi="Calibri" w:cs="Calibri"/>
          <w:sz w:val="21"/>
          <w:szCs w:val="21"/>
        </w:rPr>
        <w:t>It is therefore</w:t>
      </w:r>
      <w:r w:rsidR="00E318B8" w:rsidRPr="009C2F99">
        <w:rPr>
          <w:rFonts w:ascii="Calibri" w:hAnsi="Calibri" w:cs="Calibri"/>
          <w:sz w:val="21"/>
          <w:szCs w:val="21"/>
        </w:rPr>
        <w:t xml:space="preserve"> a shared responsibility</w:t>
      </w:r>
      <w:r w:rsidR="00E318B8" w:rsidRPr="00DA3534">
        <w:rPr>
          <w:rFonts w:ascii="Calibri" w:hAnsi="Calibri" w:cs="Calibri"/>
          <w:sz w:val="21"/>
          <w:szCs w:val="21"/>
        </w:rPr>
        <w:t xml:space="preserve"> </w:t>
      </w:r>
      <w:r>
        <w:rPr>
          <w:rFonts w:ascii="Calibri" w:hAnsi="Calibri" w:cs="Calibri"/>
          <w:sz w:val="21"/>
          <w:szCs w:val="21"/>
        </w:rPr>
        <w:t>of</w:t>
      </w:r>
      <w:r w:rsidR="00E318B8" w:rsidRPr="00DA3534">
        <w:rPr>
          <w:rFonts w:ascii="Calibri" w:hAnsi="Calibri" w:cs="Calibri"/>
          <w:sz w:val="21"/>
          <w:szCs w:val="21"/>
        </w:rPr>
        <w:t xml:space="preserve"> all humanitarian actors</w:t>
      </w:r>
      <w:r w:rsidR="000A4464">
        <w:rPr>
          <w:rFonts w:ascii="Calibri" w:hAnsi="Calibri" w:cs="Calibri"/>
          <w:sz w:val="21"/>
          <w:szCs w:val="21"/>
        </w:rPr>
        <w:t xml:space="preserve"> to be aware of the potential harm activities can cause and to take steps to prevent this. These responsibilities are</w:t>
      </w:r>
      <w:r w:rsidR="00E318B8" w:rsidRPr="00DA3534">
        <w:rPr>
          <w:rFonts w:ascii="Calibri" w:hAnsi="Calibri" w:cs="Calibri"/>
          <w:sz w:val="21"/>
          <w:szCs w:val="21"/>
        </w:rPr>
        <w:t xml:space="preserve"> articulated in a number of global standards and guidelines</w:t>
      </w:r>
      <w:r w:rsidR="00E318B8">
        <w:rPr>
          <w:rFonts w:ascii="Calibri" w:hAnsi="Calibri" w:cs="Calibri"/>
          <w:sz w:val="21"/>
          <w:szCs w:val="21"/>
        </w:rPr>
        <w:t xml:space="preserve"> </w:t>
      </w:r>
      <w:r w:rsidR="00E318B8" w:rsidRPr="00DA3534">
        <w:rPr>
          <w:rFonts w:ascii="Calibri" w:hAnsi="Calibri" w:cs="Calibri"/>
          <w:sz w:val="21"/>
          <w:szCs w:val="21"/>
        </w:rPr>
        <w:t>and increasingly a condition of donor funding</w:t>
      </w:r>
      <w:r w:rsidR="00E318B8">
        <w:rPr>
          <w:rFonts w:ascii="Calibri" w:hAnsi="Calibri" w:cs="Calibri"/>
          <w:sz w:val="21"/>
          <w:szCs w:val="21"/>
        </w:rPr>
        <w:t>.</w:t>
      </w:r>
      <w:r w:rsidR="00E318B8" w:rsidRPr="00DA3534">
        <w:rPr>
          <w:rStyle w:val="FootnoteReference"/>
          <w:rFonts w:ascii="Calibri" w:hAnsi="Calibri" w:cs="Calibri"/>
          <w:sz w:val="21"/>
          <w:szCs w:val="21"/>
        </w:rPr>
        <w:footnoteReference w:id="4"/>
      </w:r>
    </w:p>
    <w:p w14:paraId="453F9F2D" w14:textId="77777777" w:rsidR="006B7F14" w:rsidRPr="00160103" w:rsidRDefault="009402A5" w:rsidP="009402A5">
      <w:pPr>
        <w:spacing w:after="0" w:line="240" w:lineRule="auto"/>
        <w:rPr>
          <w:rStyle w:val="IntenseEmphasis"/>
          <w:rFonts w:ascii="Calibri" w:hAnsi="Calibri" w:cs="Calibri"/>
          <w:b w:val="0"/>
          <w:bCs w:val="0"/>
          <w:i w:val="0"/>
          <w:iCs w:val="0"/>
          <w:color w:val="auto"/>
          <w:sz w:val="21"/>
          <w:szCs w:val="21"/>
        </w:rPr>
      </w:pPr>
      <w:r>
        <w:rPr>
          <w:rFonts w:eastAsiaTheme="majorEastAsia" w:cstheme="minorHAnsi"/>
          <w:b/>
          <w:bCs/>
          <w:i/>
          <w:iCs/>
          <w:noProof/>
          <w:color w:val="4F81BD" w:themeColor="accent1"/>
          <w:sz w:val="24"/>
          <w:szCs w:val="24"/>
        </w:rPr>
        <w:drawing>
          <wp:anchor distT="0" distB="0" distL="114300" distR="114300" simplePos="0" relativeHeight="251658240" behindDoc="1" locked="0" layoutInCell="1" allowOverlap="1" wp14:anchorId="1FC6DC14" wp14:editId="2AF5A75C">
            <wp:simplePos x="0" y="0"/>
            <wp:positionH relativeFrom="column">
              <wp:posOffset>-26670</wp:posOffset>
            </wp:positionH>
            <wp:positionV relativeFrom="paragraph">
              <wp:posOffset>22860</wp:posOffset>
            </wp:positionV>
            <wp:extent cx="1685925" cy="2250440"/>
            <wp:effectExtent l="0" t="0" r="0" b="0"/>
            <wp:wrapTight wrapText="bothSides">
              <wp:wrapPolygon edited="0">
                <wp:start x="0" y="0"/>
                <wp:lineTo x="0" y="21393"/>
                <wp:lineTo x="21478" y="21393"/>
                <wp:lineTo x="21478" y="0"/>
                <wp:lineTo x="0" y="0"/>
              </wp:wrapPolygon>
            </wp:wrapTight>
            <wp:docPr id="1" name="Picture 0" descr="DSCN0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286.JPG"/>
                    <pic:cNvPicPr/>
                  </pic:nvPicPr>
                  <pic:blipFill>
                    <a:blip r:embed="rId9" cstate="print"/>
                    <a:stretch>
                      <a:fillRect/>
                    </a:stretch>
                  </pic:blipFill>
                  <pic:spPr>
                    <a:xfrm>
                      <a:off x="0" y="0"/>
                      <a:ext cx="1685925" cy="2250440"/>
                    </a:xfrm>
                    <a:prstGeom prst="rect">
                      <a:avLst/>
                    </a:prstGeom>
                  </pic:spPr>
                </pic:pic>
              </a:graphicData>
            </a:graphic>
            <wp14:sizeRelH relativeFrom="margin">
              <wp14:pctWidth>0</wp14:pctWidth>
            </wp14:sizeRelH>
            <wp14:sizeRelV relativeFrom="margin">
              <wp14:pctHeight>0</wp14:pctHeight>
            </wp14:sizeRelV>
          </wp:anchor>
        </w:drawing>
      </w:r>
      <w:r w:rsidR="006B7F14" w:rsidRPr="00EB44CA">
        <w:rPr>
          <w:rStyle w:val="IntenseEmphasis"/>
          <w:rFonts w:eastAsiaTheme="majorEastAsia" w:cstheme="minorHAnsi"/>
          <w:sz w:val="24"/>
          <w:szCs w:val="24"/>
        </w:rPr>
        <w:t xml:space="preserve">What does </w:t>
      </w:r>
      <w:r w:rsidR="00B30088">
        <w:rPr>
          <w:rStyle w:val="IntenseEmphasis"/>
          <w:rFonts w:eastAsiaTheme="majorEastAsia" w:cstheme="minorHAnsi"/>
          <w:sz w:val="24"/>
          <w:szCs w:val="24"/>
        </w:rPr>
        <w:t>it</w:t>
      </w:r>
      <w:r w:rsidR="006B7F14" w:rsidRPr="00EB44CA">
        <w:rPr>
          <w:rStyle w:val="IntenseEmphasis"/>
          <w:rFonts w:eastAsiaTheme="majorEastAsia" w:cstheme="minorHAnsi"/>
          <w:sz w:val="24"/>
          <w:szCs w:val="24"/>
        </w:rPr>
        <w:t xml:space="preserve"> </w:t>
      </w:r>
      <w:r w:rsidR="006B7F14">
        <w:rPr>
          <w:rStyle w:val="IntenseEmphasis"/>
          <w:rFonts w:eastAsiaTheme="majorEastAsia" w:cstheme="minorHAnsi"/>
          <w:sz w:val="24"/>
          <w:szCs w:val="24"/>
        </w:rPr>
        <w:t>mean in practice</w:t>
      </w:r>
      <w:r w:rsidR="006B7F14" w:rsidRPr="00EB44CA">
        <w:rPr>
          <w:rStyle w:val="IntenseEmphasis"/>
          <w:rFonts w:eastAsiaTheme="majorEastAsia" w:cstheme="minorHAnsi"/>
          <w:sz w:val="24"/>
          <w:szCs w:val="24"/>
        </w:rPr>
        <w:t xml:space="preserve">? </w:t>
      </w:r>
    </w:p>
    <w:p w14:paraId="34CA6993" w14:textId="77777777" w:rsidR="000A4464" w:rsidRDefault="00E73726" w:rsidP="006B7F14">
      <w:pPr>
        <w:spacing w:after="0"/>
        <w:jc w:val="both"/>
        <w:rPr>
          <w:rFonts w:ascii="Calibri" w:hAnsi="Calibri" w:cs="Calibri"/>
          <w:bCs/>
          <w:iCs/>
          <w:sz w:val="21"/>
          <w:szCs w:val="21"/>
        </w:rPr>
      </w:pPr>
      <w:r>
        <w:rPr>
          <w:rFonts w:ascii="Calibri" w:hAnsi="Calibri" w:cs="Calibri"/>
          <w:bCs/>
          <w:iCs/>
          <w:sz w:val="21"/>
          <w:szCs w:val="21"/>
        </w:rPr>
        <w:t xml:space="preserve">The </w:t>
      </w:r>
      <w:r w:rsidRPr="00DD2823">
        <w:rPr>
          <w:rFonts w:ascii="Calibri" w:hAnsi="Calibri" w:cs="Calibri"/>
          <w:b/>
          <w:bCs/>
          <w:iCs/>
          <w:sz w:val="21"/>
          <w:szCs w:val="21"/>
        </w:rPr>
        <w:t>four</w:t>
      </w:r>
      <w:r>
        <w:rPr>
          <w:rFonts w:ascii="Calibri" w:hAnsi="Calibri" w:cs="Calibri"/>
          <w:bCs/>
          <w:iCs/>
          <w:sz w:val="21"/>
          <w:szCs w:val="21"/>
        </w:rPr>
        <w:t xml:space="preserve"> </w:t>
      </w:r>
      <w:r w:rsidRPr="003B12B9">
        <w:rPr>
          <w:rFonts w:ascii="Calibri" w:hAnsi="Calibri" w:cs="Calibri"/>
          <w:b/>
          <w:bCs/>
          <w:iCs/>
          <w:sz w:val="21"/>
          <w:szCs w:val="21"/>
        </w:rPr>
        <w:t>guiding principles</w:t>
      </w:r>
      <w:r>
        <w:rPr>
          <w:rFonts w:ascii="Calibri" w:hAnsi="Calibri" w:cs="Calibri"/>
          <w:bCs/>
          <w:iCs/>
          <w:sz w:val="21"/>
          <w:szCs w:val="21"/>
        </w:rPr>
        <w:t xml:space="preserve"> outlined on the previous pages underpin the </w:t>
      </w:r>
      <w:r w:rsidR="006D2FF5" w:rsidRPr="00DD2823">
        <w:rPr>
          <w:rFonts w:ascii="Calibri" w:hAnsi="Calibri" w:cs="Calibri"/>
          <w:bCs/>
          <w:iCs/>
          <w:sz w:val="21"/>
          <w:szCs w:val="21"/>
        </w:rPr>
        <w:t>core components</w:t>
      </w:r>
      <w:r w:rsidR="006D2FF5">
        <w:rPr>
          <w:rFonts w:ascii="Calibri" w:hAnsi="Calibri" w:cs="Calibri"/>
          <w:bCs/>
          <w:iCs/>
          <w:sz w:val="21"/>
          <w:szCs w:val="21"/>
        </w:rPr>
        <w:t xml:space="preserve"> </w:t>
      </w:r>
      <w:r>
        <w:rPr>
          <w:rFonts w:ascii="Calibri" w:hAnsi="Calibri" w:cs="Calibri"/>
          <w:bCs/>
          <w:iCs/>
          <w:sz w:val="21"/>
          <w:szCs w:val="21"/>
        </w:rPr>
        <w:t>of protection mainstreaming</w:t>
      </w:r>
      <w:r w:rsidR="00FB6EF5">
        <w:rPr>
          <w:rFonts w:ascii="Calibri" w:hAnsi="Calibri" w:cs="Calibri"/>
          <w:bCs/>
          <w:iCs/>
          <w:sz w:val="21"/>
          <w:szCs w:val="21"/>
        </w:rPr>
        <w:t xml:space="preserve">. </w:t>
      </w:r>
      <w:r w:rsidR="00160933">
        <w:rPr>
          <w:rFonts w:ascii="Calibri" w:hAnsi="Calibri" w:cs="Calibri"/>
          <w:bCs/>
          <w:iCs/>
          <w:sz w:val="21"/>
          <w:szCs w:val="21"/>
        </w:rPr>
        <w:t>Together t</w:t>
      </w:r>
      <w:r w:rsidR="00FB6EF5">
        <w:rPr>
          <w:rFonts w:ascii="Calibri" w:hAnsi="Calibri" w:cs="Calibri"/>
          <w:bCs/>
          <w:iCs/>
          <w:sz w:val="21"/>
          <w:szCs w:val="21"/>
        </w:rPr>
        <w:t>he</w:t>
      </w:r>
      <w:r w:rsidR="000A4464">
        <w:rPr>
          <w:rFonts w:ascii="Calibri" w:hAnsi="Calibri" w:cs="Calibri"/>
          <w:bCs/>
          <w:iCs/>
          <w:sz w:val="21"/>
          <w:szCs w:val="21"/>
        </w:rPr>
        <w:t>se</w:t>
      </w:r>
      <w:r w:rsidR="00E512EF">
        <w:rPr>
          <w:rFonts w:ascii="Calibri" w:hAnsi="Calibri" w:cs="Calibri"/>
          <w:bCs/>
          <w:iCs/>
          <w:sz w:val="21"/>
          <w:szCs w:val="21"/>
        </w:rPr>
        <w:t xml:space="preserve"> form the foundation for all protection work, from mainstreaming to stand alone</w:t>
      </w:r>
      <w:r w:rsidR="005205F3">
        <w:rPr>
          <w:rFonts w:ascii="Calibri" w:hAnsi="Calibri" w:cs="Calibri"/>
          <w:bCs/>
          <w:iCs/>
          <w:sz w:val="21"/>
          <w:szCs w:val="21"/>
        </w:rPr>
        <w:t xml:space="preserve"> projects. </w:t>
      </w:r>
      <w:r w:rsidR="00E512EF">
        <w:rPr>
          <w:rFonts w:ascii="Calibri" w:hAnsi="Calibri" w:cs="Calibri"/>
          <w:bCs/>
          <w:iCs/>
          <w:sz w:val="21"/>
          <w:szCs w:val="21"/>
        </w:rPr>
        <w:t xml:space="preserve"> </w:t>
      </w:r>
    </w:p>
    <w:p w14:paraId="5440F947" w14:textId="77777777" w:rsidR="000A4464" w:rsidRDefault="000A4464" w:rsidP="006B7F14">
      <w:pPr>
        <w:spacing w:after="0"/>
        <w:jc w:val="both"/>
        <w:rPr>
          <w:rFonts w:ascii="Calibri" w:hAnsi="Calibri" w:cs="Calibri"/>
          <w:bCs/>
          <w:iCs/>
          <w:sz w:val="21"/>
          <w:szCs w:val="21"/>
        </w:rPr>
      </w:pPr>
    </w:p>
    <w:p w14:paraId="5BA80091" w14:textId="60BCA062" w:rsidR="005247DB" w:rsidRDefault="00017D78" w:rsidP="006B7F14">
      <w:pPr>
        <w:spacing w:after="0"/>
        <w:jc w:val="both"/>
        <w:rPr>
          <w:rFonts w:ascii="Calibri" w:hAnsi="Calibri" w:cs="Calibri"/>
          <w:bCs/>
          <w:iCs/>
          <w:sz w:val="21"/>
          <w:szCs w:val="21"/>
        </w:rPr>
      </w:pPr>
      <w:r>
        <w:rPr>
          <w:rFonts w:ascii="Calibri" w:hAnsi="Calibri" w:cs="Calibri"/>
          <w:bCs/>
          <w:iCs/>
          <w:noProof/>
          <w:sz w:val="21"/>
          <w:szCs w:val="21"/>
        </w:rPr>
        <mc:AlternateContent>
          <mc:Choice Requires="wps">
            <w:drawing>
              <wp:anchor distT="0" distB="0" distL="114300" distR="114300" simplePos="0" relativeHeight="251660288" behindDoc="0" locked="0" layoutInCell="1" allowOverlap="1" wp14:anchorId="2D2241D3" wp14:editId="1644077C">
                <wp:simplePos x="0" y="0"/>
                <wp:positionH relativeFrom="column">
                  <wp:posOffset>-80010</wp:posOffset>
                </wp:positionH>
                <wp:positionV relativeFrom="paragraph">
                  <wp:posOffset>856615</wp:posOffset>
                </wp:positionV>
                <wp:extent cx="1784985" cy="217805"/>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217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17D0D" w14:textId="77777777" w:rsidR="003B12B9" w:rsidRPr="003B12B9" w:rsidRDefault="003B12B9">
                            <w:pPr>
                              <w:rPr>
                                <w:sz w:val="16"/>
                                <w:szCs w:val="16"/>
                              </w:rPr>
                            </w:pPr>
                            <w:r>
                              <w:rPr>
                                <w:sz w:val="16"/>
                                <w:szCs w:val="16"/>
                              </w:rPr>
                              <w:t xml:space="preserve">Photo: </w:t>
                            </w:r>
                            <w:r w:rsidRPr="003B12B9">
                              <w:rPr>
                                <w:sz w:val="16"/>
                                <w:szCs w:val="16"/>
                              </w:rPr>
                              <w:t>Help desk at a food distribution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2241D3" id="_x0000_t202" coordsize="21600,21600" o:spt="202" path="m,l,21600r21600,l21600,xe">
                <v:stroke joinstyle="miter"/>
                <v:path gradientshapeok="t" o:connecttype="rect"/>
              </v:shapetype>
              <v:shape id="Text Box 2" o:spid="_x0000_s1026" type="#_x0000_t202" style="position:absolute;left:0;text-align:left;margin-left:-6.3pt;margin-top:67.45pt;width:140.55pt;height:1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" stroked="f">
                <v:textbox>
                  <w:txbxContent>
                    <w:p w14:paraId="0D517D0D" w14:textId="77777777" w:rsidR="003B12B9" w:rsidRPr="003B12B9" w:rsidRDefault="003B12B9">
                      <w:pPr>
                        <w:rPr>
                          <w:sz w:val="16"/>
                          <w:szCs w:val="16"/>
                        </w:rPr>
                      </w:pPr>
                      <w:r>
                        <w:rPr>
                          <w:sz w:val="16"/>
                          <w:szCs w:val="16"/>
                        </w:rPr>
                        <w:t xml:space="preserve">Photo: </w:t>
                      </w:r>
                      <w:r w:rsidRPr="003B12B9">
                        <w:rPr>
                          <w:sz w:val="16"/>
                          <w:szCs w:val="16"/>
                        </w:rPr>
                        <w:t>Help desk at a food distribution</w:t>
                      </w:r>
                    </w:p>
                  </w:txbxContent>
                </v:textbox>
              </v:shape>
            </w:pict>
          </mc:Fallback>
        </mc:AlternateContent>
      </w:r>
      <w:r w:rsidR="00323D2F" w:rsidRPr="00323D2F">
        <w:rPr>
          <w:rFonts w:ascii="Calibri" w:hAnsi="Calibri" w:cs="Calibri"/>
          <w:bCs/>
          <w:iCs/>
          <w:sz w:val="21"/>
          <w:szCs w:val="21"/>
        </w:rPr>
        <w:t xml:space="preserve"> </w:t>
      </w:r>
      <w:r w:rsidR="00323D2F">
        <w:rPr>
          <w:rFonts w:ascii="Calibri" w:hAnsi="Calibri" w:cs="Calibri"/>
          <w:bCs/>
          <w:iCs/>
          <w:sz w:val="21"/>
          <w:szCs w:val="21"/>
        </w:rPr>
        <w:t xml:space="preserve">The </w:t>
      </w:r>
      <w:r w:rsidR="00DD2823" w:rsidRPr="00DD2823">
        <w:rPr>
          <w:rFonts w:ascii="Calibri" w:hAnsi="Calibri" w:cs="Calibri"/>
          <w:b/>
          <w:bCs/>
          <w:iCs/>
          <w:sz w:val="21"/>
          <w:szCs w:val="21"/>
        </w:rPr>
        <w:t xml:space="preserve">eight </w:t>
      </w:r>
      <w:r w:rsidR="00323D2F" w:rsidRPr="00DD2823">
        <w:rPr>
          <w:rFonts w:ascii="Calibri" w:hAnsi="Calibri" w:cs="Calibri"/>
          <w:b/>
          <w:bCs/>
          <w:iCs/>
          <w:sz w:val="21"/>
          <w:szCs w:val="21"/>
        </w:rPr>
        <w:t>core components</w:t>
      </w:r>
      <w:r w:rsidR="00323D2F">
        <w:rPr>
          <w:rFonts w:ascii="Calibri" w:hAnsi="Calibri" w:cs="Calibri"/>
          <w:bCs/>
          <w:iCs/>
          <w:sz w:val="21"/>
          <w:szCs w:val="21"/>
        </w:rPr>
        <w:t xml:space="preserve"> comprise practical actions which many teams may already be following but when applied in a systematic way </w:t>
      </w:r>
      <w:r w:rsidR="009D5BA6">
        <w:rPr>
          <w:rFonts w:ascii="Calibri" w:hAnsi="Calibri" w:cs="Calibri"/>
          <w:bCs/>
          <w:iCs/>
          <w:sz w:val="21"/>
          <w:szCs w:val="21"/>
        </w:rPr>
        <w:t xml:space="preserve">can help ensure the safety, </w:t>
      </w:r>
      <w:r w:rsidR="00323D2F">
        <w:rPr>
          <w:rFonts w:ascii="Calibri" w:hAnsi="Calibri" w:cs="Calibri"/>
          <w:bCs/>
          <w:iCs/>
          <w:sz w:val="21"/>
          <w:szCs w:val="21"/>
        </w:rPr>
        <w:t>dignity</w:t>
      </w:r>
      <w:r w:rsidR="009D5BA6">
        <w:rPr>
          <w:rFonts w:ascii="Calibri" w:hAnsi="Calibri" w:cs="Calibri"/>
          <w:bCs/>
          <w:iCs/>
          <w:sz w:val="21"/>
          <w:szCs w:val="21"/>
        </w:rPr>
        <w:t xml:space="preserve"> and access</w:t>
      </w:r>
      <w:r w:rsidR="00323D2F">
        <w:rPr>
          <w:rFonts w:ascii="Calibri" w:hAnsi="Calibri" w:cs="Calibri"/>
          <w:bCs/>
          <w:iCs/>
          <w:sz w:val="21"/>
          <w:szCs w:val="21"/>
        </w:rPr>
        <w:t xml:space="preserve"> of beneficiaries. </w:t>
      </w:r>
      <w:r w:rsidR="005205F3">
        <w:rPr>
          <w:rFonts w:ascii="Calibri" w:hAnsi="Calibri" w:cs="Calibri"/>
          <w:bCs/>
          <w:iCs/>
          <w:sz w:val="21"/>
          <w:szCs w:val="21"/>
        </w:rPr>
        <w:t>They comprise:</w:t>
      </w:r>
    </w:p>
    <w:p w14:paraId="3F61C371" w14:textId="77777777" w:rsidR="0017237E" w:rsidRDefault="0017237E" w:rsidP="006B7F14">
      <w:pPr>
        <w:spacing w:after="0"/>
        <w:jc w:val="both"/>
        <w:rPr>
          <w:rFonts w:ascii="Calibri" w:hAnsi="Calibri" w:cs="Calibri"/>
          <w:bCs/>
          <w:iCs/>
          <w:sz w:val="21"/>
          <w:szCs w:val="21"/>
        </w:rPr>
      </w:pPr>
    </w:p>
    <w:tbl>
      <w:tblPr>
        <w:tblStyle w:val="TableGrid"/>
        <w:tblW w:w="7095" w:type="dxa"/>
        <w:tblInd w:w="108" w:type="dxa"/>
        <w:tblLayout w:type="fixed"/>
        <w:tblLook w:val="04A0" w:firstRow="1" w:lastRow="0" w:firstColumn="1" w:lastColumn="0" w:noHBand="0" w:noVBand="1"/>
      </w:tblPr>
      <w:tblGrid>
        <w:gridCol w:w="1448"/>
        <w:gridCol w:w="5647"/>
      </w:tblGrid>
      <w:tr w:rsidR="00F139F4" w14:paraId="4EFBCE7A" w14:textId="77777777" w:rsidTr="00FC1E89">
        <w:trPr>
          <w:trHeight w:val="274"/>
        </w:trPr>
        <w:tc>
          <w:tcPr>
            <w:tcW w:w="1448" w:type="dxa"/>
            <w:tcBorders>
              <w:top w:val="single" w:sz="4" w:space="0" w:color="auto"/>
              <w:left w:val="single" w:sz="4" w:space="0" w:color="auto"/>
              <w:bottom w:val="single" w:sz="4" w:space="0" w:color="auto"/>
              <w:right w:val="single" w:sz="4" w:space="0" w:color="auto"/>
            </w:tcBorders>
            <w:hideMark/>
          </w:tcPr>
          <w:p w14:paraId="572AAA78" w14:textId="77777777" w:rsidR="00F139F4" w:rsidRDefault="00F139F4" w:rsidP="00FC1E89">
            <w:pPr>
              <w:rPr>
                <w:b/>
                <w:color w:val="4F81BD" w:themeColor="accent1"/>
                <w:sz w:val="21"/>
                <w:szCs w:val="21"/>
              </w:rPr>
            </w:pPr>
            <w:r>
              <w:rPr>
                <w:b/>
                <w:color w:val="4F81BD" w:themeColor="accent1"/>
                <w:sz w:val="21"/>
                <w:szCs w:val="21"/>
              </w:rPr>
              <w:t>Components</w:t>
            </w:r>
          </w:p>
        </w:tc>
        <w:tc>
          <w:tcPr>
            <w:tcW w:w="5647" w:type="dxa"/>
            <w:tcBorders>
              <w:top w:val="single" w:sz="4" w:space="0" w:color="auto"/>
              <w:left w:val="single" w:sz="4" w:space="0" w:color="auto"/>
              <w:bottom w:val="single" w:sz="4" w:space="0" w:color="auto"/>
              <w:right w:val="single" w:sz="4" w:space="0" w:color="auto"/>
            </w:tcBorders>
            <w:hideMark/>
          </w:tcPr>
          <w:p w14:paraId="1ADA97BC" w14:textId="77777777" w:rsidR="00F139F4" w:rsidRDefault="00F139F4" w:rsidP="00FC1E89">
            <w:pPr>
              <w:rPr>
                <w:b/>
                <w:color w:val="4F81BD" w:themeColor="accent1"/>
                <w:sz w:val="21"/>
                <w:szCs w:val="21"/>
              </w:rPr>
            </w:pPr>
            <w:r>
              <w:rPr>
                <w:b/>
                <w:color w:val="4F81BD" w:themeColor="accent1"/>
                <w:sz w:val="21"/>
                <w:szCs w:val="21"/>
              </w:rPr>
              <w:t>In practice this means……..</w:t>
            </w:r>
          </w:p>
        </w:tc>
      </w:tr>
      <w:tr w:rsidR="00F139F4" w14:paraId="279AF6CC" w14:textId="77777777" w:rsidTr="00FC1E89">
        <w:trPr>
          <w:trHeight w:val="1182"/>
        </w:trPr>
        <w:tc>
          <w:tcPr>
            <w:tcW w:w="1448" w:type="dxa"/>
            <w:tcBorders>
              <w:top w:val="single" w:sz="4" w:space="0" w:color="auto"/>
              <w:left w:val="single" w:sz="4" w:space="0" w:color="auto"/>
              <w:bottom w:val="single" w:sz="4" w:space="0" w:color="auto"/>
              <w:right w:val="single" w:sz="4" w:space="0" w:color="auto"/>
            </w:tcBorders>
            <w:hideMark/>
          </w:tcPr>
          <w:p w14:paraId="2D2D0D97" w14:textId="77777777" w:rsidR="00F139F4" w:rsidRDefault="00F139F4" w:rsidP="00FC1E89">
            <w:pPr>
              <w:rPr>
                <w:rFonts w:ascii="Calibri" w:hAnsi="Calibri" w:cs="Calibri"/>
                <w:sz w:val="21"/>
                <w:szCs w:val="21"/>
              </w:rPr>
            </w:pPr>
            <w:r>
              <w:rPr>
                <w:rFonts w:ascii="Calibri" w:hAnsi="Calibri" w:cs="Calibri"/>
                <w:sz w:val="21"/>
                <w:szCs w:val="21"/>
              </w:rPr>
              <w:t>Analysis</w:t>
            </w:r>
          </w:p>
        </w:tc>
        <w:tc>
          <w:tcPr>
            <w:tcW w:w="5647" w:type="dxa"/>
            <w:tcBorders>
              <w:top w:val="single" w:sz="4" w:space="0" w:color="auto"/>
              <w:left w:val="single" w:sz="4" w:space="0" w:color="auto"/>
              <w:bottom w:val="single" w:sz="4" w:space="0" w:color="auto"/>
              <w:right w:val="single" w:sz="4" w:space="0" w:color="auto"/>
            </w:tcBorders>
            <w:hideMark/>
          </w:tcPr>
          <w:p w14:paraId="346F2995" w14:textId="77777777" w:rsidR="00F139F4" w:rsidRDefault="00F139F4" w:rsidP="00FC1E89">
            <w:pPr>
              <w:rPr>
                <w:rFonts w:ascii="Calibri" w:hAnsi="Calibri" w:cs="Calibri"/>
                <w:sz w:val="21"/>
                <w:szCs w:val="21"/>
              </w:rPr>
            </w:pPr>
            <w:r>
              <w:rPr>
                <w:rFonts w:ascii="Calibri" w:hAnsi="Calibri" w:cs="Calibri"/>
                <w:sz w:val="21"/>
                <w:szCs w:val="21"/>
              </w:rPr>
              <w:t xml:space="preserve">All programming is underpinned by an understanding of the protection context throughout the programme cycle. </w:t>
            </w:r>
            <w:r>
              <w:rPr>
                <w:rFonts w:ascii="Calibri" w:hAnsi="Calibri" w:cs="Calibri"/>
                <w:i/>
                <w:sz w:val="21"/>
                <w:szCs w:val="21"/>
              </w:rPr>
              <w:t xml:space="preserve">E.g. organise focus group discussions with women and girls to understand their needs and coping strategies. </w:t>
            </w:r>
          </w:p>
        </w:tc>
      </w:tr>
      <w:tr w:rsidR="00F139F4" w14:paraId="2D588E48" w14:textId="77777777" w:rsidTr="00FC1E89">
        <w:trPr>
          <w:trHeight w:val="1073"/>
        </w:trPr>
        <w:tc>
          <w:tcPr>
            <w:tcW w:w="1448" w:type="dxa"/>
            <w:tcBorders>
              <w:top w:val="single" w:sz="4" w:space="0" w:color="auto"/>
              <w:left w:val="single" w:sz="4" w:space="0" w:color="auto"/>
              <w:bottom w:val="single" w:sz="4" w:space="0" w:color="auto"/>
              <w:right w:val="single" w:sz="4" w:space="0" w:color="auto"/>
            </w:tcBorders>
            <w:hideMark/>
          </w:tcPr>
          <w:p w14:paraId="7EFAB663" w14:textId="77777777" w:rsidR="00F139F4" w:rsidRDefault="00F139F4" w:rsidP="00FC1E89">
            <w:pPr>
              <w:rPr>
                <w:rFonts w:ascii="Calibri" w:hAnsi="Calibri" w:cs="Calibri"/>
                <w:sz w:val="21"/>
                <w:szCs w:val="21"/>
              </w:rPr>
            </w:pPr>
            <w:r>
              <w:rPr>
                <w:rFonts w:ascii="Calibri" w:hAnsi="Calibri" w:cs="Calibri"/>
                <w:sz w:val="21"/>
                <w:szCs w:val="21"/>
              </w:rPr>
              <w:t>Targeting and diversity of need</w:t>
            </w:r>
          </w:p>
        </w:tc>
        <w:tc>
          <w:tcPr>
            <w:tcW w:w="5647" w:type="dxa"/>
            <w:tcBorders>
              <w:top w:val="single" w:sz="4" w:space="0" w:color="auto"/>
              <w:left w:val="single" w:sz="4" w:space="0" w:color="auto"/>
              <w:bottom w:val="single" w:sz="4" w:space="0" w:color="auto"/>
              <w:right w:val="single" w:sz="4" w:space="0" w:color="auto"/>
            </w:tcBorders>
            <w:hideMark/>
          </w:tcPr>
          <w:p w14:paraId="733402B3" w14:textId="77777777" w:rsidR="00F139F4" w:rsidRDefault="00F139F4" w:rsidP="00FC1E89">
            <w:pPr>
              <w:rPr>
                <w:rFonts w:ascii="Calibri" w:hAnsi="Calibri" w:cs="Calibri"/>
                <w:sz w:val="21"/>
                <w:szCs w:val="21"/>
              </w:rPr>
            </w:pPr>
            <w:r>
              <w:rPr>
                <w:rFonts w:ascii="Calibri" w:hAnsi="Calibri" w:cs="Calibri"/>
                <w:sz w:val="21"/>
                <w:szCs w:val="21"/>
              </w:rPr>
              <w:t xml:space="preserve">The differing needs and capacities of the most vulnerable women, men, girls and boys are identified and assistance is targeted accordingly. </w:t>
            </w:r>
            <w:r>
              <w:rPr>
                <w:rFonts w:ascii="Calibri" w:hAnsi="Calibri" w:cs="Calibri"/>
                <w:i/>
                <w:sz w:val="21"/>
                <w:szCs w:val="21"/>
              </w:rPr>
              <w:t>E.g. arrange transport to distribution sites for older persons and people with mobility problems.</w:t>
            </w:r>
            <w:r>
              <w:rPr>
                <w:rFonts w:ascii="Calibri" w:hAnsi="Calibri" w:cs="Calibri"/>
                <w:sz w:val="21"/>
                <w:szCs w:val="21"/>
              </w:rPr>
              <w:t xml:space="preserve"> </w:t>
            </w:r>
          </w:p>
        </w:tc>
      </w:tr>
      <w:tr w:rsidR="00F139F4" w14:paraId="736A703B" w14:textId="77777777" w:rsidTr="00FC1E89">
        <w:trPr>
          <w:trHeight w:val="1029"/>
        </w:trPr>
        <w:tc>
          <w:tcPr>
            <w:tcW w:w="1448" w:type="dxa"/>
            <w:tcBorders>
              <w:top w:val="single" w:sz="4" w:space="0" w:color="auto"/>
              <w:left w:val="single" w:sz="4" w:space="0" w:color="auto"/>
              <w:bottom w:val="single" w:sz="4" w:space="0" w:color="auto"/>
              <w:right w:val="single" w:sz="4" w:space="0" w:color="auto"/>
            </w:tcBorders>
          </w:tcPr>
          <w:p w14:paraId="3957205F" w14:textId="77777777" w:rsidR="00F139F4" w:rsidRDefault="00F139F4" w:rsidP="00FC1E89">
            <w:pPr>
              <w:rPr>
                <w:rFonts w:ascii="Calibri" w:hAnsi="Calibri" w:cs="Calibri"/>
                <w:sz w:val="21"/>
                <w:szCs w:val="21"/>
              </w:rPr>
            </w:pPr>
            <w:r>
              <w:rPr>
                <w:rFonts w:ascii="Calibri" w:hAnsi="Calibri" w:cs="Calibri"/>
                <w:sz w:val="21"/>
                <w:szCs w:val="21"/>
              </w:rPr>
              <w:t>Information sharing</w:t>
            </w:r>
          </w:p>
          <w:p w14:paraId="5E81A989" w14:textId="77777777" w:rsidR="00F139F4" w:rsidRDefault="00F139F4" w:rsidP="00FC1E89">
            <w:pPr>
              <w:rPr>
                <w:rFonts w:ascii="Calibri" w:hAnsi="Calibri" w:cs="Calibri"/>
                <w:sz w:val="21"/>
                <w:szCs w:val="21"/>
              </w:rPr>
            </w:pPr>
          </w:p>
        </w:tc>
        <w:tc>
          <w:tcPr>
            <w:tcW w:w="5647" w:type="dxa"/>
            <w:tcBorders>
              <w:top w:val="single" w:sz="4" w:space="0" w:color="auto"/>
              <w:left w:val="single" w:sz="4" w:space="0" w:color="auto"/>
              <w:bottom w:val="single" w:sz="4" w:space="0" w:color="auto"/>
              <w:right w:val="single" w:sz="4" w:space="0" w:color="auto"/>
            </w:tcBorders>
            <w:hideMark/>
          </w:tcPr>
          <w:p w14:paraId="2F51E27C" w14:textId="77777777" w:rsidR="00F139F4" w:rsidRDefault="00F139F4" w:rsidP="00FC1E89">
            <w:pPr>
              <w:rPr>
                <w:rFonts w:ascii="Calibri" w:hAnsi="Calibri" w:cs="Calibri"/>
                <w:sz w:val="21"/>
                <w:szCs w:val="21"/>
              </w:rPr>
            </w:pPr>
            <w:r>
              <w:rPr>
                <w:rFonts w:ascii="Calibri" w:hAnsi="Calibri" w:cs="Calibri"/>
                <w:sz w:val="21"/>
                <w:szCs w:val="21"/>
              </w:rPr>
              <w:t xml:space="preserve">Accurate and timely information is readily available to women, men, boys and girls on who we are, what we’re doing and what services are available. </w:t>
            </w:r>
            <w:r w:rsidRPr="001A5238">
              <w:rPr>
                <w:rFonts w:ascii="Calibri" w:hAnsi="Calibri" w:cs="Calibri"/>
                <w:i/>
                <w:sz w:val="21"/>
                <w:szCs w:val="21"/>
              </w:rPr>
              <w:t>E.g. share written and verbal information via leaflets, posters and community meetings.</w:t>
            </w:r>
          </w:p>
        </w:tc>
      </w:tr>
      <w:tr w:rsidR="00F139F4" w14:paraId="76D30683" w14:textId="77777777" w:rsidTr="00FC1E89">
        <w:trPr>
          <w:trHeight w:val="218"/>
        </w:trPr>
        <w:tc>
          <w:tcPr>
            <w:tcW w:w="1448" w:type="dxa"/>
            <w:tcBorders>
              <w:top w:val="single" w:sz="4" w:space="0" w:color="auto"/>
              <w:left w:val="single" w:sz="4" w:space="0" w:color="auto"/>
              <w:bottom w:val="single" w:sz="4" w:space="0" w:color="auto"/>
              <w:right w:val="single" w:sz="4" w:space="0" w:color="auto"/>
            </w:tcBorders>
          </w:tcPr>
          <w:p w14:paraId="556088AF" w14:textId="77777777" w:rsidR="00F139F4" w:rsidRDefault="00F139F4" w:rsidP="00FC1E89">
            <w:pPr>
              <w:rPr>
                <w:rFonts w:ascii="Calibri" w:hAnsi="Calibri" w:cs="Calibri"/>
                <w:sz w:val="21"/>
                <w:szCs w:val="21"/>
              </w:rPr>
            </w:pPr>
            <w:r>
              <w:rPr>
                <w:rFonts w:ascii="Calibri" w:hAnsi="Calibri" w:cs="Calibri"/>
                <w:sz w:val="21"/>
                <w:szCs w:val="21"/>
              </w:rPr>
              <w:t>Community engagement</w:t>
            </w:r>
          </w:p>
          <w:p w14:paraId="73688826" w14:textId="77777777" w:rsidR="00F139F4" w:rsidRDefault="00F139F4" w:rsidP="00FC1E89">
            <w:pPr>
              <w:rPr>
                <w:rFonts w:ascii="Calibri" w:hAnsi="Calibri" w:cs="Calibri"/>
                <w:sz w:val="21"/>
                <w:szCs w:val="21"/>
              </w:rPr>
            </w:pPr>
          </w:p>
        </w:tc>
        <w:tc>
          <w:tcPr>
            <w:tcW w:w="5647" w:type="dxa"/>
            <w:tcBorders>
              <w:top w:val="single" w:sz="4" w:space="0" w:color="auto"/>
              <w:left w:val="single" w:sz="4" w:space="0" w:color="auto"/>
              <w:bottom w:val="single" w:sz="4" w:space="0" w:color="auto"/>
              <w:right w:val="single" w:sz="4" w:space="0" w:color="auto"/>
            </w:tcBorders>
            <w:hideMark/>
          </w:tcPr>
          <w:p w14:paraId="0C3C0D33" w14:textId="77777777" w:rsidR="00F139F4" w:rsidRDefault="00F139F4" w:rsidP="00FC1E89">
            <w:pPr>
              <w:rPr>
                <w:rFonts w:ascii="Calibri" w:hAnsi="Calibri" w:cs="Calibri"/>
                <w:sz w:val="21"/>
                <w:szCs w:val="21"/>
              </w:rPr>
            </w:pPr>
            <w:r>
              <w:rPr>
                <w:rFonts w:ascii="Calibri" w:hAnsi="Calibri" w:cs="Calibri"/>
                <w:sz w:val="21"/>
                <w:szCs w:val="21"/>
              </w:rPr>
              <w:t xml:space="preserve">There is active and inclusive community engagement in all stages of the programme cycle that builds on and strengthens existing community and state structures, resources and capacities. </w:t>
            </w:r>
            <w:r w:rsidRPr="001A5238">
              <w:rPr>
                <w:rFonts w:ascii="Calibri" w:hAnsi="Calibri" w:cs="Calibri"/>
                <w:i/>
                <w:sz w:val="21"/>
                <w:szCs w:val="21"/>
              </w:rPr>
              <w:t>E.g. use different methods, such as timelines, calendars, or mappings to engage different groups.</w:t>
            </w:r>
          </w:p>
        </w:tc>
      </w:tr>
      <w:tr w:rsidR="00F139F4" w14:paraId="4FB23BF9" w14:textId="77777777" w:rsidTr="00FC1E89">
        <w:trPr>
          <w:trHeight w:val="218"/>
        </w:trPr>
        <w:tc>
          <w:tcPr>
            <w:tcW w:w="1448" w:type="dxa"/>
            <w:tcBorders>
              <w:top w:val="single" w:sz="4" w:space="0" w:color="auto"/>
              <w:left w:val="single" w:sz="4" w:space="0" w:color="auto"/>
              <w:bottom w:val="single" w:sz="4" w:space="0" w:color="auto"/>
              <w:right w:val="single" w:sz="4" w:space="0" w:color="auto"/>
            </w:tcBorders>
            <w:hideMark/>
          </w:tcPr>
          <w:p w14:paraId="18ADB725" w14:textId="77777777" w:rsidR="00F139F4" w:rsidRDefault="00F139F4" w:rsidP="00FC1E89">
            <w:pPr>
              <w:rPr>
                <w:rFonts w:ascii="Calibri" w:hAnsi="Calibri" w:cs="Calibri"/>
                <w:sz w:val="21"/>
                <w:szCs w:val="21"/>
              </w:rPr>
            </w:pPr>
            <w:r>
              <w:rPr>
                <w:rFonts w:ascii="Calibri" w:hAnsi="Calibri" w:cs="Calibri"/>
                <w:sz w:val="21"/>
                <w:szCs w:val="21"/>
              </w:rPr>
              <w:t xml:space="preserve">Feedback and complaints mechanisms </w:t>
            </w:r>
          </w:p>
        </w:tc>
        <w:tc>
          <w:tcPr>
            <w:tcW w:w="5647" w:type="dxa"/>
            <w:tcBorders>
              <w:top w:val="single" w:sz="4" w:space="0" w:color="auto"/>
              <w:left w:val="single" w:sz="4" w:space="0" w:color="auto"/>
              <w:bottom w:val="single" w:sz="4" w:space="0" w:color="auto"/>
              <w:right w:val="single" w:sz="4" w:space="0" w:color="auto"/>
            </w:tcBorders>
            <w:hideMark/>
          </w:tcPr>
          <w:p w14:paraId="5B57BB1D" w14:textId="77777777" w:rsidR="00F139F4" w:rsidRDefault="00F139F4" w:rsidP="00FC1E89">
            <w:pPr>
              <w:rPr>
                <w:rFonts w:ascii="Calibri" w:hAnsi="Calibri" w:cs="Calibri"/>
                <w:sz w:val="21"/>
                <w:szCs w:val="21"/>
              </w:rPr>
            </w:pPr>
            <w:r>
              <w:rPr>
                <w:rFonts w:ascii="Calibri" w:hAnsi="Calibri" w:cs="Calibri"/>
                <w:sz w:val="21"/>
                <w:szCs w:val="21"/>
              </w:rPr>
              <w:t xml:space="preserve">Men, women, boys and girls are able to provide feedback and report concerns in a safe, dignified and confidential manner and receive an appropriate response when they do so. </w:t>
            </w:r>
            <w:r>
              <w:rPr>
                <w:rFonts w:ascii="Calibri" w:hAnsi="Calibri" w:cs="Calibri"/>
                <w:i/>
                <w:sz w:val="21"/>
                <w:szCs w:val="21"/>
              </w:rPr>
              <w:t xml:space="preserve">E.g. put in place hotlines, suggestion boxes, or help desks. </w:t>
            </w:r>
          </w:p>
        </w:tc>
      </w:tr>
      <w:tr w:rsidR="00F139F4" w14:paraId="23AE1A76" w14:textId="77777777" w:rsidTr="00FC1E89">
        <w:trPr>
          <w:trHeight w:val="142"/>
        </w:trPr>
        <w:tc>
          <w:tcPr>
            <w:tcW w:w="1448" w:type="dxa"/>
            <w:tcBorders>
              <w:top w:val="single" w:sz="4" w:space="0" w:color="auto"/>
              <w:left w:val="single" w:sz="4" w:space="0" w:color="auto"/>
              <w:bottom w:val="single" w:sz="4" w:space="0" w:color="auto"/>
              <w:right w:val="single" w:sz="4" w:space="0" w:color="auto"/>
            </w:tcBorders>
            <w:hideMark/>
          </w:tcPr>
          <w:p w14:paraId="03B3A3A4" w14:textId="77777777" w:rsidR="00F139F4" w:rsidRDefault="00F139F4" w:rsidP="00FC1E89">
            <w:pPr>
              <w:rPr>
                <w:rFonts w:ascii="Calibri" w:hAnsi="Calibri" w:cs="Calibri"/>
                <w:sz w:val="21"/>
                <w:szCs w:val="21"/>
              </w:rPr>
            </w:pPr>
            <w:r>
              <w:rPr>
                <w:rFonts w:ascii="Calibri" w:hAnsi="Calibri" w:cs="Calibri"/>
                <w:sz w:val="21"/>
                <w:szCs w:val="21"/>
              </w:rPr>
              <w:t>Staff conduct</w:t>
            </w:r>
          </w:p>
        </w:tc>
        <w:tc>
          <w:tcPr>
            <w:tcW w:w="5647" w:type="dxa"/>
            <w:tcBorders>
              <w:top w:val="single" w:sz="4" w:space="0" w:color="auto"/>
              <w:left w:val="single" w:sz="4" w:space="0" w:color="auto"/>
              <w:bottom w:val="single" w:sz="4" w:space="0" w:color="auto"/>
              <w:right w:val="single" w:sz="4" w:space="0" w:color="auto"/>
            </w:tcBorders>
            <w:hideMark/>
          </w:tcPr>
          <w:p w14:paraId="1D997870" w14:textId="77777777" w:rsidR="00F139F4" w:rsidRDefault="00F139F4" w:rsidP="00FC1E89">
            <w:pPr>
              <w:rPr>
                <w:rFonts w:ascii="Calibri" w:hAnsi="Calibri" w:cs="Calibri"/>
                <w:sz w:val="21"/>
                <w:szCs w:val="21"/>
              </w:rPr>
            </w:pPr>
            <w:r>
              <w:rPr>
                <w:rFonts w:ascii="Calibri" w:hAnsi="Calibri" w:cs="Calibri"/>
                <w:sz w:val="21"/>
                <w:szCs w:val="21"/>
              </w:rPr>
              <w:t xml:space="preserve">Staff and partners have appropriate knowledge and organisational support to conduct themselves and their work in a safe and appropriate way </w:t>
            </w:r>
            <w:r>
              <w:rPr>
                <w:rFonts w:ascii="Calibri" w:hAnsi="Calibri" w:cs="Calibri"/>
                <w:i/>
                <w:sz w:val="21"/>
                <w:szCs w:val="21"/>
              </w:rPr>
              <w:t>E.g. orient staff and volunteers on the code of conduct on key facts about the projects.</w:t>
            </w:r>
            <w:r>
              <w:rPr>
                <w:rFonts w:ascii="Calibri" w:hAnsi="Calibri" w:cs="Calibri"/>
                <w:sz w:val="21"/>
                <w:szCs w:val="21"/>
              </w:rPr>
              <w:t xml:space="preserve"> </w:t>
            </w:r>
          </w:p>
        </w:tc>
      </w:tr>
      <w:tr w:rsidR="00F139F4" w14:paraId="33FCC174" w14:textId="77777777" w:rsidTr="00FC1E89">
        <w:trPr>
          <w:trHeight w:val="218"/>
        </w:trPr>
        <w:tc>
          <w:tcPr>
            <w:tcW w:w="1448" w:type="dxa"/>
            <w:tcBorders>
              <w:top w:val="single" w:sz="4" w:space="0" w:color="auto"/>
              <w:left w:val="single" w:sz="4" w:space="0" w:color="auto"/>
              <w:bottom w:val="single" w:sz="4" w:space="0" w:color="auto"/>
              <w:right w:val="single" w:sz="4" w:space="0" w:color="auto"/>
            </w:tcBorders>
            <w:hideMark/>
          </w:tcPr>
          <w:p w14:paraId="6939D610" w14:textId="77777777" w:rsidR="00F139F4" w:rsidRDefault="00F139F4" w:rsidP="00FC1E89">
            <w:pPr>
              <w:rPr>
                <w:rFonts w:ascii="Calibri" w:hAnsi="Calibri" w:cs="Calibri"/>
                <w:sz w:val="21"/>
                <w:szCs w:val="21"/>
              </w:rPr>
            </w:pPr>
            <w:r>
              <w:rPr>
                <w:rFonts w:ascii="Calibri" w:hAnsi="Calibri" w:cs="Calibri"/>
                <w:sz w:val="21"/>
                <w:szCs w:val="21"/>
              </w:rPr>
              <w:t>Mapping/ Referral</w:t>
            </w:r>
          </w:p>
        </w:tc>
        <w:tc>
          <w:tcPr>
            <w:tcW w:w="5647" w:type="dxa"/>
            <w:tcBorders>
              <w:top w:val="single" w:sz="4" w:space="0" w:color="auto"/>
              <w:left w:val="single" w:sz="4" w:space="0" w:color="auto"/>
              <w:bottom w:val="single" w:sz="4" w:space="0" w:color="auto"/>
              <w:right w:val="single" w:sz="4" w:space="0" w:color="auto"/>
            </w:tcBorders>
            <w:hideMark/>
          </w:tcPr>
          <w:p w14:paraId="6AD622AA" w14:textId="77777777" w:rsidR="00F139F4" w:rsidRDefault="00F139F4" w:rsidP="00FC1E89">
            <w:pPr>
              <w:rPr>
                <w:rFonts w:ascii="Calibri" w:hAnsi="Calibri" w:cs="Calibri"/>
                <w:sz w:val="21"/>
                <w:szCs w:val="21"/>
              </w:rPr>
            </w:pPr>
            <w:r>
              <w:rPr>
                <w:rFonts w:ascii="Calibri" w:hAnsi="Calibri" w:cs="Calibri"/>
                <w:sz w:val="21"/>
                <w:szCs w:val="21"/>
              </w:rPr>
              <w:t xml:space="preserve">Staff and partners have necessary knowledge and information to support communities in accessing existing services. </w:t>
            </w:r>
            <w:r>
              <w:rPr>
                <w:rFonts w:ascii="Calibri" w:hAnsi="Calibri" w:cs="Calibri"/>
                <w:i/>
                <w:sz w:val="21"/>
                <w:szCs w:val="21"/>
              </w:rPr>
              <w:t>E.g. provide staff with laminated cards listing service providers.</w:t>
            </w:r>
            <w:r>
              <w:rPr>
                <w:rFonts w:ascii="Calibri" w:hAnsi="Calibri" w:cs="Calibri"/>
                <w:sz w:val="21"/>
                <w:szCs w:val="21"/>
              </w:rPr>
              <w:t xml:space="preserve"> </w:t>
            </w:r>
          </w:p>
        </w:tc>
      </w:tr>
      <w:tr w:rsidR="00F139F4" w14:paraId="6F959F64" w14:textId="77777777" w:rsidTr="00FC1E89">
        <w:trPr>
          <w:trHeight w:val="218"/>
        </w:trPr>
        <w:tc>
          <w:tcPr>
            <w:tcW w:w="1448" w:type="dxa"/>
            <w:tcBorders>
              <w:top w:val="single" w:sz="4" w:space="0" w:color="auto"/>
              <w:left w:val="single" w:sz="4" w:space="0" w:color="auto"/>
              <w:bottom w:val="single" w:sz="4" w:space="0" w:color="auto"/>
              <w:right w:val="single" w:sz="4" w:space="0" w:color="auto"/>
            </w:tcBorders>
            <w:hideMark/>
          </w:tcPr>
          <w:p w14:paraId="029655FD" w14:textId="77777777" w:rsidR="00F139F4" w:rsidRDefault="00F139F4" w:rsidP="00FC1E89">
            <w:pPr>
              <w:rPr>
                <w:rFonts w:ascii="Calibri" w:hAnsi="Calibri" w:cs="Calibri"/>
                <w:sz w:val="21"/>
                <w:szCs w:val="21"/>
              </w:rPr>
            </w:pPr>
            <w:r>
              <w:rPr>
                <w:rFonts w:ascii="Calibri" w:hAnsi="Calibri" w:cs="Calibri"/>
                <w:sz w:val="21"/>
                <w:szCs w:val="21"/>
              </w:rPr>
              <w:t>Coordination/</w:t>
            </w:r>
          </w:p>
          <w:p w14:paraId="5C6D6C07" w14:textId="77777777" w:rsidR="00F139F4" w:rsidRDefault="00F139F4" w:rsidP="00FC1E89">
            <w:pPr>
              <w:rPr>
                <w:rFonts w:ascii="Calibri" w:hAnsi="Calibri" w:cs="Calibri"/>
                <w:sz w:val="21"/>
                <w:szCs w:val="21"/>
              </w:rPr>
            </w:pPr>
            <w:r>
              <w:rPr>
                <w:rFonts w:ascii="Calibri" w:hAnsi="Calibri" w:cs="Calibri"/>
                <w:sz w:val="21"/>
                <w:szCs w:val="21"/>
              </w:rPr>
              <w:t>Advocacy</w:t>
            </w:r>
          </w:p>
        </w:tc>
        <w:tc>
          <w:tcPr>
            <w:tcW w:w="5647" w:type="dxa"/>
            <w:tcBorders>
              <w:top w:val="single" w:sz="4" w:space="0" w:color="auto"/>
              <w:left w:val="single" w:sz="4" w:space="0" w:color="auto"/>
              <w:bottom w:val="single" w:sz="4" w:space="0" w:color="auto"/>
              <w:right w:val="single" w:sz="4" w:space="0" w:color="auto"/>
            </w:tcBorders>
            <w:hideMark/>
          </w:tcPr>
          <w:p w14:paraId="6CD62D52" w14:textId="77777777" w:rsidR="00F139F4" w:rsidRDefault="00F139F4" w:rsidP="00FC1E89">
            <w:pPr>
              <w:rPr>
                <w:rFonts w:ascii="Calibri" w:hAnsi="Calibri" w:cs="Calibri"/>
                <w:sz w:val="21"/>
                <w:szCs w:val="21"/>
              </w:rPr>
            </w:pPr>
            <w:r>
              <w:rPr>
                <w:rFonts w:ascii="Calibri" w:hAnsi="Calibri" w:cs="Calibri"/>
                <w:sz w:val="21"/>
                <w:szCs w:val="21"/>
              </w:rPr>
              <w:t xml:space="preserve">Staff and partners advocate and work together with relevant actors to enhance the protective environment, avoid </w:t>
            </w:r>
            <w:r>
              <w:rPr>
                <w:rFonts w:ascii="Calibri" w:hAnsi="Calibri" w:cs="Calibri"/>
                <w:sz w:val="21"/>
                <w:szCs w:val="21"/>
              </w:rPr>
              <w:lastRenderedPageBreak/>
              <w:t xml:space="preserve">duplication and to prevent, mitigate and respond to protection risks. </w:t>
            </w:r>
            <w:r>
              <w:rPr>
                <w:rFonts w:ascii="Calibri" w:hAnsi="Calibri" w:cs="Calibri"/>
                <w:i/>
                <w:sz w:val="21"/>
                <w:szCs w:val="21"/>
              </w:rPr>
              <w:t>E.g. staff raise issues such as unsafe service provision with responsible actors (such as the protection cluster).</w:t>
            </w:r>
          </w:p>
        </w:tc>
      </w:tr>
    </w:tbl>
    <w:p w14:paraId="5A10C23A" w14:textId="77777777" w:rsidR="003B12B9" w:rsidRDefault="003B12B9" w:rsidP="000A4464">
      <w:pPr>
        <w:spacing w:after="0"/>
        <w:rPr>
          <w:rFonts w:ascii="Calibri" w:hAnsi="Calibri" w:cs="Calibri"/>
          <w:i/>
          <w:sz w:val="21"/>
          <w:szCs w:val="21"/>
        </w:rPr>
      </w:pPr>
    </w:p>
    <w:p w14:paraId="4FF8117F" w14:textId="77777777" w:rsidR="0019130D" w:rsidRPr="007F69F4" w:rsidRDefault="00556DEE" w:rsidP="0019130D">
      <w:pPr>
        <w:pStyle w:val="Heading2"/>
        <w:rPr>
          <w:rStyle w:val="IntenseEmphasis"/>
          <w:rFonts w:asciiTheme="minorHAnsi" w:hAnsiTheme="minorHAnsi" w:cstheme="minorHAnsi"/>
          <w:b/>
          <w:sz w:val="24"/>
          <w:szCs w:val="24"/>
        </w:rPr>
      </w:pPr>
      <w:r>
        <w:rPr>
          <w:rStyle w:val="IntenseEmphasis"/>
          <w:rFonts w:asciiTheme="minorHAnsi" w:hAnsiTheme="minorHAnsi" w:cstheme="minorHAnsi"/>
          <w:b/>
          <w:sz w:val="24"/>
          <w:szCs w:val="24"/>
        </w:rPr>
        <w:t>T</w:t>
      </w:r>
      <w:r w:rsidR="0019130D" w:rsidRPr="007F69F4">
        <w:rPr>
          <w:rStyle w:val="IntenseEmphasis"/>
          <w:rFonts w:asciiTheme="minorHAnsi" w:hAnsiTheme="minorHAnsi" w:cstheme="minorHAnsi"/>
          <w:b/>
          <w:sz w:val="24"/>
          <w:szCs w:val="24"/>
        </w:rPr>
        <w:t>he Protection Mainstreaming Working Group (PMWG)</w:t>
      </w:r>
    </w:p>
    <w:p w14:paraId="7AC41A96" w14:textId="19E68EBD" w:rsidR="0019130D" w:rsidRDefault="00E37A13" w:rsidP="0019130D">
      <w:pPr>
        <w:jc w:val="both"/>
        <w:rPr>
          <w:rFonts w:ascii="Calibri" w:hAnsi="Calibri" w:cs="Calibri"/>
          <w:sz w:val="21"/>
          <w:szCs w:val="21"/>
        </w:rPr>
      </w:pPr>
      <w:r>
        <w:rPr>
          <w:rFonts w:ascii="Calibri" w:hAnsi="Calibri" w:cs="Calibri"/>
          <w:sz w:val="21"/>
          <w:szCs w:val="21"/>
        </w:rPr>
        <w:t>CRS,</w:t>
      </w:r>
      <w:r w:rsidR="003314EB">
        <w:rPr>
          <w:rFonts w:ascii="Calibri" w:hAnsi="Calibri" w:cs="Calibri"/>
          <w:sz w:val="21"/>
          <w:szCs w:val="21"/>
        </w:rPr>
        <w:t xml:space="preserve"> </w:t>
      </w:r>
      <w:r w:rsidR="0019130D">
        <w:rPr>
          <w:rFonts w:ascii="Calibri" w:hAnsi="Calibri" w:cs="Calibri"/>
          <w:sz w:val="21"/>
          <w:szCs w:val="21"/>
        </w:rPr>
        <w:t>Caritas Australia and CAFOD have</w:t>
      </w:r>
      <w:r w:rsidR="0019130D" w:rsidRPr="00DA3534">
        <w:rPr>
          <w:rFonts w:ascii="Calibri" w:hAnsi="Calibri" w:cs="Calibri"/>
          <w:sz w:val="21"/>
          <w:szCs w:val="21"/>
        </w:rPr>
        <w:t xml:space="preserve"> committed to a joint initiative</w:t>
      </w:r>
      <w:r w:rsidR="0019130D">
        <w:rPr>
          <w:rFonts w:ascii="Calibri" w:hAnsi="Calibri" w:cs="Calibri"/>
          <w:sz w:val="21"/>
          <w:szCs w:val="21"/>
        </w:rPr>
        <w:t>, the</w:t>
      </w:r>
      <w:r w:rsidR="0019130D" w:rsidRPr="00DA3534">
        <w:rPr>
          <w:rFonts w:ascii="Calibri" w:hAnsi="Calibri" w:cs="Calibri"/>
          <w:sz w:val="21"/>
          <w:szCs w:val="21"/>
        </w:rPr>
        <w:t xml:space="preserve"> </w:t>
      </w:r>
      <w:r w:rsidR="0019130D" w:rsidRPr="00394686">
        <w:rPr>
          <w:rFonts w:ascii="Calibri" w:hAnsi="Calibri" w:cs="Calibri"/>
          <w:sz w:val="21"/>
          <w:szCs w:val="21"/>
        </w:rPr>
        <w:t>Protection Mainstreaming Working Group (PMWG),</w:t>
      </w:r>
      <w:r w:rsidR="0019130D" w:rsidRPr="00DA3534">
        <w:rPr>
          <w:rFonts w:ascii="Calibri" w:hAnsi="Calibri" w:cs="Calibri"/>
          <w:b/>
          <w:sz w:val="21"/>
          <w:szCs w:val="21"/>
        </w:rPr>
        <w:t xml:space="preserve"> </w:t>
      </w:r>
      <w:r w:rsidR="0019130D" w:rsidRPr="00DA3534">
        <w:rPr>
          <w:rFonts w:ascii="Calibri" w:hAnsi="Calibri" w:cs="Calibri"/>
          <w:sz w:val="21"/>
          <w:szCs w:val="21"/>
        </w:rPr>
        <w:t xml:space="preserve">to strengthen their own capacity and that of their partners in order to be more strategic and consistent in mainstreaming protection throughout emergency response and recovery programmes.  </w:t>
      </w:r>
      <w:r w:rsidR="0019130D">
        <w:rPr>
          <w:rFonts w:ascii="Calibri" w:hAnsi="Calibri" w:cs="Calibri"/>
          <w:sz w:val="21"/>
          <w:szCs w:val="21"/>
        </w:rPr>
        <w:t>The Working Group</w:t>
      </w:r>
      <w:r w:rsidR="0019130D" w:rsidRPr="00DA3534">
        <w:rPr>
          <w:rFonts w:ascii="Calibri" w:hAnsi="Calibri" w:cs="Calibri"/>
          <w:sz w:val="21"/>
          <w:szCs w:val="21"/>
        </w:rPr>
        <w:t xml:space="preserve"> will seek to strengthen protection mainstreaming through</w:t>
      </w:r>
      <w:r w:rsidR="0019130D">
        <w:rPr>
          <w:rFonts w:ascii="Calibri" w:hAnsi="Calibri" w:cs="Calibri"/>
          <w:sz w:val="21"/>
          <w:szCs w:val="21"/>
        </w:rPr>
        <w:t>:</w:t>
      </w:r>
    </w:p>
    <w:p w14:paraId="503CEA72" w14:textId="77777777" w:rsidR="0019130D" w:rsidRDefault="0019130D" w:rsidP="0019130D">
      <w:pPr>
        <w:pStyle w:val="ListParagraph"/>
        <w:numPr>
          <w:ilvl w:val="2"/>
          <w:numId w:val="12"/>
        </w:numPr>
        <w:jc w:val="both"/>
        <w:rPr>
          <w:rFonts w:ascii="Calibri" w:hAnsi="Calibri" w:cs="Calibri"/>
          <w:sz w:val="21"/>
          <w:szCs w:val="21"/>
        </w:rPr>
      </w:pPr>
      <w:r>
        <w:rPr>
          <w:rFonts w:ascii="Calibri" w:hAnsi="Calibri" w:cs="Calibri"/>
          <w:sz w:val="21"/>
          <w:szCs w:val="21"/>
        </w:rPr>
        <w:t>B</w:t>
      </w:r>
      <w:r w:rsidRPr="00F24CDF">
        <w:rPr>
          <w:rFonts w:ascii="Calibri" w:hAnsi="Calibri" w:cs="Calibri"/>
          <w:sz w:val="21"/>
          <w:szCs w:val="21"/>
        </w:rPr>
        <w:t xml:space="preserve">uilding widespread commitment and providing practical support to the implementation of protection mainstreaming; </w:t>
      </w:r>
    </w:p>
    <w:p w14:paraId="4BFAFE4A" w14:textId="77777777" w:rsidR="0019130D" w:rsidRDefault="0019130D" w:rsidP="0019130D">
      <w:pPr>
        <w:pStyle w:val="ListParagraph"/>
        <w:numPr>
          <w:ilvl w:val="2"/>
          <w:numId w:val="12"/>
        </w:numPr>
        <w:jc w:val="both"/>
        <w:rPr>
          <w:rFonts w:ascii="Calibri" w:hAnsi="Calibri" w:cs="Calibri"/>
          <w:sz w:val="21"/>
          <w:szCs w:val="21"/>
        </w:rPr>
      </w:pPr>
      <w:r>
        <w:rPr>
          <w:rFonts w:ascii="Calibri" w:hAnsi="Calibri" w:cs="Calibri"/>
          <w:sz w:val="21"/>
          <w:szCs w:val="21"/>
        </w:rPr>
        <w:t>D</w:t>
      </w:r>
      <w:r w:rsidRPr="00F24CDF">
        <w:rPr>
          <w:rFonts w:ascii="Calibri" w:hAnsi="Calibri" w:cs="Calibri"/>
          <w:sz w:val="21"/>
          <w:szCs w:val="21"/>
        </w:rPr>
        <w:t xml:space="preserve">eveloping and promoting good practice and continual learning in relation to protection mainstreaming; </w:t>
      </w:r>
    </w:p>
    <w:p w14:paraId="76FA45C8" w14:textId="77777777" w:rsidR="0019130D" w:rsidRDefault="0019130D" w:rsidP="0019130D">
      <w:pPr>
        <w:pStyle w:val="ListParagraph"/>
        <w:numPr>
          <w:ilvl w:val="2"/>
          <w:numId w:val="12"/>
        </w:numPr>
        <w:jc w:val="both"/>
        <w:rPr>
          <w:rFonts w:ascii="Calibri" w:hAnsi="Calibri" w:cs="Calibri"/>
          <w:sz w:val="21"/>
          <w:szCs w:val="21"/>
        </w:rPr>
      </w:pPr>
      <w:r>
        <w:rPr>
          <w:rFonts w:ascii="Calibri" w:hAnsi="Calibri" w:cs="Calibri"/>
          <w:sz w:val="21"/>
          <w:szCs w:val="21"/>
        </w:rPr>
        <w:t>E</w:t>
      </w:r>
      <w:r w:rsidRPr="00F24CDF">
        <w:rPr>
          <w:rFonts w:ascii="Calibri" w:hAnsi="Calibri" w:cs="Calibri"/>
          <w:sz w:val="21"/>
          <w:szCs w:val="21"/>
        </w:rPr>
        <w:t>nsuring representation and participation within relevan</w:t>
      </w:r>
      <w:r>
        <w:rPr>
          <w:rFonts w:ascii="Calibri" w:hAnsi="Calibri" w:cs="Calibri"/>
          <w:sz w:val="21"/>
          <w:szCs w:val="21"/>
        </w:rPr>
        <w:t>t international protection fora;</w:t>
      </w:r>
    </w:p>
    <w:p w14:paraId="7A53EEE2" w14:textId="77777777" w:rsidR="0019130D" w:rsidRPr="00F24CDF" w:rsidRDefault="0019130D" w:rsidP="0019130D">
      <w:pPr>
        <w:pStyle w:val="ListParagraph"/>
        <w:numPr>
          <w:ilvl w:val="2"/>
          <w:numId w:val="12"/>
        </w:numPr>
        <w:jc w:val="both"/>
        <w:rPr>
          <w:rFonts w:ascii="Calibri" w:hAnsi="Calibri" w:cs="Calibri"/>
          <w:sz w:val="21"/>
          <w:szCs w:val="21"/>
        </w:rPr>
      </w:pPr>
      <w:r>
        <w:rPr>
          <w:rFonts w:ascii="Calibri" w:hAnsi="Calibri" w:cs="Calibri"/>
          <w:sz w:val="21"/>
          <w:szCs w:val="21"/>
        </w:rPr>
        <w:t>D</w:t>
      </w:r>
      <w:r w:rsidRPr="00F24CDF">
        <w:rPr>
          <w:rFonts w:ascii="Calibri" w:hAnsi="Calibri" w:cs="Calibri"/>
          <w:sz w:val="21"/>
          <w:szCs w:val="21"/>
        </w:rPr>
        <w:t>eveloping strategic links with the wider Caritas network.</w:t>
      </w:r>
    </w:p>
    <w:p w14:paraId="01003D3B" w14:textId="77777777" w:rsidR="0019130D" w:rsidRDefault="0019130D" w:rsidP="0019130D">
      <w:pPr>
        <w:jc w:val="both"/>
        <w:rPr>
          <w:rFonts w:ascii="Calibri" w:hAnsi="Calibri" w:cs="Calibri"/>
          <w:sz w:val="21"/>
          <w:szCs w:val="21"/>
        </w:rPr>
      </w:pPr>
      <w:r w:rsidRPr="00DA3534">
        <w:rPr>
          <w:rFonts w:ascii="Calibri" w:hAnsi="Calibri" w:cs="Calibri"/>
          <w:sz w:val="21"/>
          <w:szCs w:val="21"/>
        </w:rPr>
        <w:t>A collaborative approach will “add value” by increasing efficiency, standardising terminology and approaches and sharing resources and learning.  Furthermore, working together on certain aspects of protection mainstreaming will maximise our reach and impact, raise our profile (and thus ability to influence) in the international arena and facilitate more effe</w:t>
      </w:r>
      <w:r>
        <w:rPr>
          <w:rFonts w:ascii="Calibri" w:hAnsi="Calibri" w:cs="Calibri"/>
          <w:sz w:val="21"/>
          <w:szCs w:val="21"/>
        </w:rPr>
        <w:t xml:space="preserve">ctive field work with partners. The triangle framework was developed as part of this collaborative approach. </w:t>
      </w:r>
    </w:p>
    <w:p w14:paraId="0139ADEB" w14:textId="77777777" w:rsidR="00BE5C43" w:rsidRPr="00DA3534" w:rsidRDefault="00BE5C43" w:rsidP="0019130D">
      <w:pPr>
        <w:jc w:val="both"/>
        <w:rPr>
          <w:rFonts w:ascii="Calibri" w:hAnsi="Calibri" w:cs="Calibri"/>
          <w:sz w:val="21"/>
          <w:szCs w:val="21"/>
        </w:rPr>
      </w:pPr>
    </w:p>
    <w:sectPr w:rsidR="00BE5C43" w:rsidRPr="00DA3534" w:rsidSect="00237D09">
      <w:footerReference w:type="default" r:id="rId10"/>
      <w:pgSz w:w="16838" w:h="11906" w:orient="landscape"/>
      <w:pgMar w:top="1021" w:right="1077" w:bottom="1021" w:left="1077" w:header="709" w:footer="709" w:gutter="0"/>
      <w:cols w:num="2" w:space="62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D8326" w14:textId="77777777" w:rsidR="00EE4F65" w:rsidRDefault="00EE4F65" w:rsidP="00FC2072">
      <w:pPr>
        <w:spacing w:after="0" w:line="240" w:lineRule="auto"/>
      </w:pPr>
      <w:r>
        <w:separator/>
      </w:r>
    </w:p>
  </w:endnote>
  <w:endnote w:type="continuationSeparator" w:id="0">
    <w:p w14:paraId="48B4821F" w14:textId="77777777" w:rsidR="00EE4F65" w:rsidRDefault="00EE4F65" w:rsidP="00FC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6608"/>
      <w:gridCol w:w="1468"/>
      <w:gridCol w:w="6608"/>
    </w:tblGrid>
    <w:tr w:rsidR="00160103" w:rsidRPr="003314EB" w14:paraId="08DABE88" w14:textId="77777777">
      <w:trPr>
        <w:trHeight w:val="151"/>
      </w:trPr>
      <w:tc>
        <w:tcPr>
          <w:tcW w:w="2250" w:type="pct"/>
          <w:tcBorders>
            <w:bottom w:val="single" w:sz="4" w:space="0" w:color="4F81BD" w:themeColor="accent1"/>
          </w:tcBorders>
        </w:tcPr>
        <w:p w14:paraId="617B464C" w14:textId="77777777" w:rsidR="00160103" w:rsidRPr="003314EB" w:rsidRDefault="00160103">
          <w:pPr>
            <w:pStyle w:val="Header"/>
            <w:rPr>
              <w:rFonts w:eastAsiaTheme="majorEastAsia" w:cstheme="majorBidi"/>
              <w:b/>
              <w:bCs/>
              <w:sz w:val="20"/>
              <w:szCs w:val="20"/>
            </w:rPr>
          </w:pPr>
        </w:p>
      </w:tc>
      <w:tc>
        <w:tcPr>
          <w:tcW w:w="500" w:type="pct"/>
          <w:vMerge w:val="restart"/>
          <w:noWrap/>
          <w:vAlign w:val="center"/>
        </w:tcPr>
        <w:p w14:paraId="5144B15E" w14:textId="28CE595C" w:rsidR="00160103" w:rsidRPr="003314EB" w:rsidRDefault="00160103">
          <w:pPr>
            <w:pStyle w:val="NoSpacing"/>
            <w:rPr>
              <w:sz w:val="20"/>
              <w:szCs w:val="20"/>
            </w:rPr>
          </w:pPr>
          <w:r w:rsidRPr="003314EB">
            <w:rPr>
              <w:b/>
              <w:sz w:val="20"/>
              <w:szCs w:val="20"/>
            </w:rPr>
            <w:t xml:space="preserve">Page </w:t>
          </w:r>
          <w:r w:rsidR="000C50D2" w:rsidRPr="003314EB">
            <w:rPr>
              <w:sz w:val="20"/>
              <w:szCs w:val="20"/>
            </w:rPr>
            <w:fldChar w:fldCharType="begin"/>
          </w:r>
          <w:r w:rsidR="000C50D2" w:rsidRPr="003314EB">
            <w:rPr>
              <w:sz w:val="20"/>
              <w:szCs w:val="20"/>
            </w:rPr>
            <w:instrText xml:space="preserve"> PAGE  \* MERGEFORMAT </w:instrText>
          </w:r>
          <w:r w:rsidR="000C50D2" w:rsidRPr="003314EB">
            <w:rPr>
              <w:sz w:val="20"/>
              <w:szCs w:val="20"/>
            </w:rPr>
            <w:fldChar w:fldCharType="separate"/>
          </w:r>
          <w:r w:rsidR="007D7F14" w:rsidRPr="007D7F14">
            <w:rPr>
              <w:b/>
              <w:noProof/>
              <w:sz w:val="20"/>
              <w:szCs w:val="20"/>
            </w:rPr>
            <w:t>1</w:t>
          </w:r>
          <w:r w:rsidR="000C50D2" w:rsidRPr="003314EB">
            <w:rPr>
              <w:b/>
              <w:noProof/>
              <w:sz w:val="20"/>
              <w:szCs w:val="20"/>
            </w:rPr>
            <w:fldChar w:fldCharType="end"/>
          </w:r>
        </w:p>
      </w:tc>
      <w:tc>
        <w:tcPr>
          <w:tcW w:w="2250" w:type="pct"/>
          <w:tcBorders>
            <w:bottom w:val="single" w:sz="4" w:space="0" w:color="4F81BD" w:themeColor="accent1"/>
          </w:tcBorders>
        </w:tcPr>
        <w:p w14:paraId="5355423B" w14:textId="77777777" w:rsidR="00160103" w:rsidRPr="003314EB" w:rsidRDefault="00160103">
          <w:pPr>
            <w:pStyle w:val="Header"/>
            <w:rPr>
              <w:rFonts w:eastAsiaTheme="majorEastAsia" w:cstheme="majorBidi"/>
              <w:b/>
              <w:bCs/>
              <w:sz w:val="20"/>
              <w:szCs w:val="20"/>
            </w:rPr>
          </w:pPr>
        </w:p>
      </w:tc>
    </w:tr>
    <w:tr w:rsidR="00160103" w:rsidRPr="003314EB" w14:paraId="18FB82AE" w14:textId="77777777" w:rsidTr="00F139F4">
      <w:trPr>
        <w:trHeight w:val="70"/>
      </w:trPr>
      <w:tc>
        <w:tcPr>
          <w:tcW w:w="2250" w:type="pct"/>
          <w:tcBorders>
            <w:top w:val="single" w:sz="4" w:space="0" w:color="4F81BD" w:themeColor="accent1"/>
          </w:tcBorders>
        </w:tcPr>
        <w:p w14:paraId="4ACC2CDD" w14:textId="5A6B9EAD" w:rsidR="00160103" w:rsidRPr="003314EB" w:rsidRDefault="00E37A13">
          <w:pPr>
            <w:pStyle w:val="Header"/>
            <w:rPr>
              <w:rFonts w:eastAsiaTheme="majorEastAsia" w:cstheme="majorBidi"/>
              <w:bCs/>
              <w:sz w:val="20"/>
              <w:szCs w:val="20"/>
            </w:rPr>
          </w:pPr>
          <w:bookmarkStart w:id="1" w:name="_Hlk496779692"/>
          <w:bookmarkStart w:id="2" w:name="_Hlk496779680"/>
          <w:r w:rsidRPr="003314EB">
            <w:rPr>
              <w:rFonts w:eastAsiaTheme="majorEastAsia" w:cstheme="majorBidi"/>
              <w:bCs/>
              <w:sz w:val="20"/>
              <w:szCs w:val="20"/>
            </w:rPr>
            <w:t>© 201</w:t>
          </w:r>
          <w:r w:rsidR="0017237E">
            <w:rPr>
              <w:rFonts w:eastAsiaTheme="majorEastAsia" w:cstheme="majorBidi"/>
              <w:bCs/>
              <w:sz w:val="20"/>
              <w:szCs w:val="20"/>
            </w:rPr>
            <w:t>8</w:t>
          </w:r>
          <w:r w:rsidRPr="003314EB">
            <w:rPr>
              <w:rFonts w:eastAsiaTheme="majorEastAsia" w:cstheme="majorBidi"/>
              <w:bCs/>
              <w:sz w:val="20"/>
              <w:szCs w:val="20"/>
            </w:rPr>
            <w:t xml:space="preserve"> CRS, Caritas Australia and CAFOD</w:t>
          </w:r>
          <w:bookmarkEnd w:id="1"/>
        </w:p>
      </w:tc>
      <w:tc>
        <w:tcPr>
          <w:tcW w:w="500" w:type="pct"/>
          <w:vMerge/>
        </w:tcPr>
        <w:p w14:paraId="15E202BD" w14:textId="77777777" w:rsidR="00160103" w:rsidRPr="003314EB" w:rsidRDefault="00160103">
          <w:pPr>
            <w:pStyle w:val="Header"/>
            <w:jc w:val="center"/>
            <w:rPr>
              <w:rFonts w:eastAsiaTheme="majorEastAsia" w:cstheme="majorBidi"/>
              <w:b/>
              <w:bCs/>
              <w:sz w:val="20"/>
              <w:szCs w:val="20"/>
            </w:rPr>
          </w:pPr>
        </w:p>
      </w:tc>
      <w:tc>
        <w:tcPr>
          <w:tcW w:w="2250" w:type="pct"/>
          <w:tcBorders>
            <w:top w:val="single" w:sz="4" w:space="0" w:color="4F81BD" w:themeColor="accent1"/>
          </w:tcBorders>
        </w:tcPr>
        <w:p w14:paraId="1A8FC815" w14:textId="77777777" w:rsidR="00160103" w:rsidRPr="003314EB" w:rsidRDefault="00160103">
          <w:pPr>
            <w:pStyle w:val="Header"/>
            <w:rPr>
              <w:rFonts w:eastAsiaTheme="majorEastAsia" w:cstheme="majorBidi"/>
              <w:b/>
              <w:bCs/>
              <w:sz w:val="20"/>
              <w:szCs w:val="20"/>
            </w:rPr>
          </w:pPr>
        </w:p>
      </w:tc>
    </w:tr>
    <w:bookmarkEnd w:id="2"/>
  </w:tbl>
  <w:p w14:paraId="03D117C5" w14:textId="77777777" w:rsidR="000A6B71" w:rsidRPr="003314EB" w:rsidRDefault="000A6B71" w:rsidP="00E318B8">
    <w:pPr>
      <w:pStyle w:val="Footer"/>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FCCA1" w14:textId="77777777" w:rsidR="00EE4F65" w:rsidRDefault="00EE4F65" w:rsidP="00FC2072">
      <w:pPr>
        <w:spacing w:after="0" w:line="240" w:lineRule="auto"/>
      </w:pPr>
      <w:r>
        <w:separator/>
      </w:r>
    </w:p>
  </w:footnote>
  <w:footnote w:type="continuationSeparator" w:id="0">
    <w:p w14:paraId="2C678125" w14:textId="77777777" w:rsidR="00EE4F65" w:rsidRDefault="00EE4F65" w:rsidP="00FC2072">
      <w:pPr>
        <w:spacing w:after="0" w:line="240" w:lineRule="auto"/>
      </w:pPr>
      <w:r>
        <w:continuationSeparator/>
      </w:r>
    </w:p>
  </w:footnote>
  <w:footnote w:id="1">
    <w:p w14:paraId="7AAC3D7D" w14:textId="77777777" w:rsidR="0019130D" w:rsidRPr="0019130D" w:rsidRDefault="0019130D" w:rsidP="0019130D">
      <w:pPr>
        <w:pStyle w:val="FootnoteText"/>
        <w:rPr>
          <w:sz w:val="17"/>
          <w:szCs w:val="17"/>
        </w:rPr>
      </w:pPr>
      <w:r w:rsidRPr="0019130D">
        <w:rPr>
          <w:rStyle w:val="FootnoteReference"/>
          <w:sz w:val="17"/>
          <w:szCs w:val="17"/>
        </w:rPr>
        <w:footnoteRef/>
      </w:r>
      <w:r w:rsidRPr="0019130D">
        <w:rPr>
          <w:sz w:val="17"/>
          <w:szCs w:val="17"/>
        </w:rPr>
        <w:t xml:space="preserve"> “</w:t>
      </w:r>
      <w:r w:rsidR="00A86FC2">
        <w:rPr>
          <w:sz w:val="17"/>
          <w:szCs w:val="17"/>
        </w:rPr>
        <w:t>P</w:t>
      </w:r>
      <w:r w:rsidRPr="0019130D">
        <w:rPr>
          <w:sz w:val="17"/>
          <w:szCs w:val="17"/>
        </w:rPr>
        <w:t xml:space="preserve">rotection mainstreaming” and “safe </w:t>
      </w:r>
      <w:r w:rsidR="00A86FC2">
        <w:rPr>
          <w:sz w:val="17"/>
          <w:szCs w:val="17"/>
        </w:rPr>
        <w:t xml:space="preserve">and dignified </w:t>
      </w:r>
      <w:r w:rsidRPr="0019130D">
        <w:rPr>
          <w:sz w:val="17"/>
          <w:szCs w:val="17"/>
        </w:rPr>
        <w:t>programming” may be used interchangeably</w:t>
      </w:r>
    </w:p>
  </w:footnote>
  <w:footnote w:id="2">
    <w:p w14:paraId="3CBFCC09" w14:textId="77777777" w:rsidR="00807849" w:rsidRPr="0019130D" w:rsidRDefault="00807849">
      <w:pPr>
        <w:pStyle w:val="FootnoteText"/>
        <w:rPr>
          <w:rStyle w:val="Hyperlink"/>
          <w:sz w:val="17"/>
          <w:szCs w:val="17"/>
        </w:rPr>
      </w:pPr>
      <w:r w:rsidRPr="0019130D">
        <w:rPr>
          <w:rStyle w:val="FootnoteReference"/>
          <w:sz w:val="17"/>
          <w:szCs w:val="17"/>
        </w:rPr>
        <w:footnoteRef/>
      </w:r>
      <w:r w:rsidRPr="0019130D">
        <w:rPr>
          <w:sz w:val="17"/>
          <w:szCs w:val="17"/>
        </w:rPr>
        <w:t xml:space="preserve"> </w:t>
      </w:r>
      <w:r w:rsidR="005015B8" w:rsidRPr="0019130D">
        <w:rPr>
          <w:sz w:val="17"/>
          <w:szCs w:val="17"/>
        </w:rPr>
        <w:t xml:space="preserve">Definitions from the </w:t>
      </w:r>
      <w:r w:rsidR="00394686" w:rsidRPr="0019130D">
        <w:rPr>
          <w:sz w:val="17"/>
          <w:szCs w:val="17"/>
        </w:rPr>
        <w:t xml:space="preserve">Global </w:t>
      </w:r>
      <w:r w:rsidR="005015B8" w:rsidRPr="0019130D">
        <w:rPr>
          <w:sz w:val="17"/>
          <w:szCs w:val="17"/>
        </w:rPr>
        <w:t>P</w:t>
      </w:r>
      <w:r w:rsidR="00394686" w:rsidRPr="0019130D">
        <w:rPr>
          <w:sz w:val="17"/>
          <w:szCs w:val="17"/>
        </w:rPr>
        <w:t xml:space="preserve">rotection </w:t>
      </w:r>
      <w:r w:rsidR="005015B8" w:rsidRPr="0019130D">
        <w:rPr>
          <w:sz w:val="17"/>
          <w:szCs w:val="17"/>
        </w:rPr>
        <w:t>C</w:t>
      </w:r>
      <w:r w:rsidR="00394686" w:rsidRPr="0019130D">
        <w:rPr>
          <w:sz w:val="17"/>
          <w:szCs w:val="17"/>
        </w:rPr>
        <w:t>luster:</w:t>
      </w:r>
      <w:r w:rsidRPr="0019130D">
        <w:rPr>
          <w:sz w:val="17"/>
          <w:szCs w:val="17"/>
        </w:rPr>
        <w:t xml:space="preserve"> </w:t>
      </w:r>
      <w:hyperlink r:id="rId1" w:history="1">
        <w:r w:rsidR="004E453D" w:rsidRPr="0019130D">
          <w:rPr>
            <w:rStyle w:val="Hyperlink"/>
            <w:sz w:val="17"/>
            <w:szCs w:val="17"/>
          </w:rPr>
          <w:t>http://www.globalprotectioncluster.org/en/areas-of-responsibility/protection-mainstreaming.html</w:t>
        </w:r>
      </w:hyperlink>
    </w:p>
  </w:footnote>
  <w:footnote w:id="3">
    <w:p w14:paraId="25035734" w14:textId="77777777" w:rsidR="00B30088" w:rsidRPr="0019130D" w:rsidRDefault="00B30088" w:rsidP="00B30088">
      <w:pPr>
        <w:pStyle w:val="FootnoteText"/>
        <w:rPr>
          <w:sz w:val="17"/>
          <w:szCs w:val="17"/>
        </w:rPr>
      </w:pPr>
      <w:r w:rsidRPr="0019130D">
        <w:rPr>
          <w:rStyle w:val="FootnoteReference"/>
          <w:sz w:val="17"/>
          <w:szCs w:val="17"/>
        </w:rPr>
        <w:footnoteRef/>
      </w:r>
      <w:r w:rsidRPr="0019130D">
        <w:rPr>
          <w:sz w:val="17"/>
          <w:szCs w:val="17"/>
        </w:rPr>
        <w:t xml:space="preserve"> </w:t>
      </w:r>
      <w:r>
        <w:rPr>
          <w:sz w:val="17"/>
          <w:szCs w:val="17"/>
        </w:rPr>
        <w:t xml:space="preserve">The colour in brackets refers to the </w:t>
      </w:r>
      <w:r w:rsidRPr="0019130D">
        <w:rPr>
          <w:sz w:val="17"/>
          <w:szCs w:val="17"/>
        </w:rPr>
        <w:t xml:space="preserve">colour-coded triangle which visualises the different </w:t>
      </w:r>
      <w:r>
        <w:rPr>
          <w:sz w:val="17"/>
          <w:szCs w:val="17"/>
        </w:rPr>
        <w:t xml:space="preserve">protection </w:t>
      </w:r>
      <w:r w:rsidRPr="0019130D">
        <w:rPr>
          <w:sz w:val="17"/>
          <w:szCs w:val="17"/>
        </w:rPr>
        <w:t xml:space="preserve">approaches. </w:t>
      </w:r>
    </w:p>
  </w:footnote>
  <w:footnote w:id="4">
    <w:p w14:paraId="0C3528E1" w14:textId="77777777" w:rsidR="00E318B8" w:rsidRPr="0019130D" w:rsidRDefault="00E318B8" w:rsidP="00E318B8">
      <w:pPr>
        <w:spacing w:line="240" w:lineRule="auto"/>
        <w:rPr>
          <w:sz w:val="17"/>
          <w:szCs w:val="17"/>
        </w:rPr>
      </w:pPr>
      <w:r w:rsidRPr="0019130D">
        <w:rPr>
          <w:rStyle w:val="FootnoteReference"/>
          <w:sz w:val="17"/>
          <w:szCs w:val="17"/>
        </w:rPr>
        <w:footnoteRef/>
      </w:r>
      <w:r w:rsidRPr="0019130D">
        <w:rPr>
          <w:sz w:val="17"/>
          <w:szCs w:val="17"/>
        </w:rPr>
        <w:t xml:space="preserve"> See the Sphere Handbook (2011) p.31: “In order to meet the standards of this handbook, all humanitarian agencies should be guided by the Protection Principles, even if they do not have a distinct protection mandate or specialist capacity in protection”. </w:t>
      </w:r>
      <w:r w:rsidR="0019130D" w:rsidRPr="0019130D">
        <w:rPr>
          <w:sz w:val="17"/>
          <w:szCs w:val="17"/>
        </w:rPr>
        <w:t xml:space="preserve">See also </w:t>
      </w:r>
      <w:r w:rsidR="0019130D" w:rsidRPr="0019130D">
        <w:rPr>
          <w:i/>
          <w:sz w:val="17"/>
          <w:szCs w:val="17"/>
        </w:rPr>
        <w:t xml:space="preserve">The Centrality of Protection in Humanitarian Action, </w:t>
      </w:r>
      <w:r w:rsidR="0019130D" w:rsidRPr="0019130D">
        <w:rPr>
          <w:sz w:val="17"/>
          <w:szCs w:val="17"/>
        </w:rPr>
        <w:t xml:space="preserve">Statement by the Inter-agency Standing Committee (IASC) Principals, December 2013, available at: </w:t>
      </w:r>
      <w:hyperlink r:id="rId2" w:history="1">
        <w:r w:rsidR="0019130D" w:rsidRPr="0019130D">
          <w:rPr>
            <w:rStyle w:val="Hyperlink"/>
            <w:sz w:val="17"/>
            <w:szCs w:val="17"/>
          </w:rPr>
          <w:t>http://www.interaction.org/document/centrality-protection-humanitarian-action-statement-iasc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4BE2"/>
    <w:multiLevelType w:val="hybridMultilevel"/>
    <w:tmpl w:val="51AA5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881B63"/>
    <w:multiLevelType w:val="hybridMultilevel"/>
    <w:tmpl w:val="4B161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A5BFC"/>
    <w:multiLevelType w:val="hybridMultilevel"/>
    <w:tmpl w:val="44A015E0"/>
    <w:lvl w:ilvl="0" w:tplc="0809000F">
      <w:start w:val="1"/>
      <w:numFmt w:val="decimal"/>
      <w:lvlText w:val="%1."/>
      <w:lvlJc w:val="left"/>
      <w:pPr>
        <w:ind w:left="360" w:hanging="360"/>
      </w:pPr>
    </w:lvl>
    <w:lvl w:ilvl="1" w:tplc="08090003">
      <w:start w:val="1"/>
      <w:numFmt w:val="bullet"/>
      <w:lvlText w:val="o"/>
      <w:lvlJc w:val="left"/>
      <w:pPr>
        <w:ind w:left="644"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6D2A00"/>
    <w:multiLevelType w:val="hybridMultilevel"/>
    <w:tmpl w:val="8042E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3B1490"/>
    <w:multiLevelType w:val="hybridMultilevel"/>
    <w:tmpl w:val="14F09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E8006F"/>
    <w:multiLevelType w:val="hybridMultilevel"/>
    <w:tmpl w:val="7BC0151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582CEA02">
      <w:numFmt w:val="bullet"/>
      <w:lvlText w:val="-"/>
      <w:lvlJc w:val="left"/>
      <w:pPr>
        <w:ind w:left="360" w:hanging="360"/>
      </w:pPr>
      <w:rPr>
        <w:rFonts w:ascii="Calibri" w:eastAsiaTheme="minorEastAsia"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5172A4"/>
    <w:multiLevelType w:val="hybridMultilevel"/>
    <w:tmpl w:val="8A9849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3D640D"/>
    <w:multiLevelType w:val="hybridMultilevel"/>
    <w:tmpl w:val="C980C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9571A"/>
    <w:multiLevelType w:val="hybridMultilevel"/>
    <w:tmpl w:val="48321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45189"/>
    <w:multiLevelType w:val="hybridMultilevel"/>
    <w:tmpl w:val="37926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9300E"/>
    <w:multiLevelType w:val="hybridMultilevel"/>
    <w:tmpl w:val="BC3A9E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4123B"/>
    <w:multiLevelType w:val="hybridMultilevel"/>
    <w:tmpl w:val="21C84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0B4AB8"/>
    <w:multiLevelType w:val="hybridMultilevel"/>
    <w:tmpl w:val="8B3C0A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D87F4D"/>
    <w:multiLevelType w:val="hybridMultilevel"/>
    <w:tmpl w:val="97DC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9"/>
  </w:num>
  <w:num w:numId="5">
    <w:abstractNumId w:val="8"/>
  </w:num>
  <w:num w:numId="6">
    <w:abstractNumId w:val="10"/>
  </w:num>
  <w:num w:numId="7">
    <w:abstractNumId w:val="3"/>
  </w:num>
  <w:num w:numId="8">
    <w:abstractNumId w:val="4"/>
  </w:num>
  <w:num w:numId="9">
    <w:abstractNumId w:val="0"/>
  </w:num>
  <w:num w:numId="10">
    <w:abstractNumId w:val="11"/>
  </w:num>
  <w:num w:numId="11">
    <w:abstractNumId w:val="6"/>
  </w:num>
  <w:num w:numId="12">
    <w:abstractNumId w:val="5"/>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1"/>
    <w:rsid w:val="00016D59"/>
    <w:rsid w:val="00017D78"/>
    <w:rsid w:val="0003530B"/>
    <w:rsid w:val="0004055C"/>
    <w:rsid w:val="00041FF5"/>
    <w:rsid w:val="00042DCF"/>
    <w:rsid w:val="00061A8A"/>
    <w:rsid w:val="000625DD"/>
    <w:rsid w:val="000A4464"/>
    <w:rsid w:val="000A6B71"/>
    <w:rsid w:val="000B18B0"/>
    <w:rsid w:val="000B2235"/>
    <w:rsid w:val="000B3300"/>
    <w:rsid w:val="000C50D2"/>
    <w:rsid w:val="000C5467"/>
    <w:rsid w:val="000D5A94"/>
    <w:rsid w:val="000E30F2"/>
    <w:rsid w:val="000E3182"/>
    <w:rsid w:val="00105EB3"/>
    <w:rsid w:val="00114373"/>
    <w:rsid w:val="0011721D"/>
    <w:rsid w:val="001201C1"/>
    <w:rsid w:val="001272BA"/>
    <w:rsid w:val="00136757"/>
    <w:rsid w:val="001507A9"/>
    <w:rsid w:val="00152841"/>
    <w:rsid w:val="00157478"/>
    <w:rsid w:val="00160103"/>
    <w:rsid w:val="00160933"/>
    <w:rsid w:val="0017237E"/>
    <w:rsid w:val="00186110"/>
    <w:rsid w:val="0019130D"/>
    <w:rsid w:val="001C396A"/>
    <w:rsid w:val="001C7B5B"/>
    <w:rsid w:val="001D7B17"/>
    <w:rsid w:val="001D7CCE"/>
    <w:rsid w:val="002000C0"/>
    <w:rsid w:val="00203B6A"/>
    <w:rsid w:val="00237D09"/>
    <w:rsid w:val="00244006"/>
    <w:rsid w:val="00251742"/>
    <w:rsid w:val="0026145B"/>
    <w:rsid w:val="00270E3B"/>
    <w:rsid w:val="002A6E9A"/>
    <w:rsid w:val="002B397C"/>
    <w:rsid w:val="00305A2E"/>
    <w:rsid w:val="00323D2F"/>
    <w:rsid w:val="003314EB"/>
    <w:rsid w:val="0036712A"/>
    <w:rsid w:val="003753F8"/>
    <w:rsid w:val="00382C95"/>
    <w:rsid w:val="00394686"/>
    <w:rsid w:val="003A5910"/>
    <w:rsid w:val="003B12B9"/>
    <w:rsid w:val="003B16C4"/>
    <w:rsid w:val="003D7B7A"/>
    <w:rsid w:val="003E0990"/>
    <w:rsid w:val="003E1BBF"/>
    <w:rsid w:val="003E7BAE"/>
    <w:rsid w:val="00415343"/>
    <w:rsid w:val="004334D7"/>
    <w:rsid w:val="00433C9D"/>
    <w:rsid w:val="00434D87"/>
    <w:rsid w:val="00440A99"/>
    <w:rsid w:val="004638A8"/>
    <w:rsid w:val="0049720F"/>
    <w:rsid w:val="004D69D4"/>
    <w:rsid w:val="004D7332"/>
    <w:rsid w:val="004E453D"/>
    <w:rsid w:val="005015B8"/>
    <w:rsid w:val="005077B5"/>
    <w:rsid w:val="005151D0"/>
    <w:rsid w:val="005205F3"/>
    <w:rsid w:val="005230F7"/>
    <w:rsid w:val="005247DB"/>
    <w:rsid w:val="005355EB"/>
    <w:rsid w:val="005409BB"/>
    <w:rsid w:val="00556DEE"/>
    <w:rsid w:val="0056314D"/>
    <w:rsid w:val="00575AB5"/>
    <w:rsid w:val="00580A6C"/>
    <w:rsid w:val="00584198"/>
    <w:rsid w:val="005B4F6B"/>
    <w:rsid w:val="005C13A8"/>
    <w:rsid w:val="005E4AA0"/>
    <w:rsid w:val="005F2029"/>
    <w:rsid w:val="00610907"/>
    <w:rsid w:val="006265D6"/>
    <w:rsid w:val="0064539C"/>
    <w:rsid w:val="006466AB"/>
    <w:rsid w:val="00667D26"/>
    <w:rsid w:val="006A31FF"/>
    <w:rsid w:val="006B7F14"/>
    <w:rsid w:val="006D2FF5"/>
    <w:rsid w:val="006F348F"/>
    <w:rsid w:val="006F6B2F"/>
    <w:rsid w:val="00701BBC"/>
    <w:rsid w:val="00712C14"/>
    <w:rsid w:val="00725681"/>
    <w:rsid w:val="007302C0"/>
    <w:rsid w:val="00734351"/>
    <w:rsid w:val="007758FD"/>
    <w:rsid w:val="007832D2"/>
    <w:rsid w:val="00797086"/>
    <w:rsid w:val="007C2085"/>
    <w:rsid w:val="007C7ACE"/>
    <w:rsid w:val="007D7F14"/>
    <w:rsid w:val="007F3904"/>
    <w:rsid w:val="007F69F4"/>
    <w:rsid w:val="008035A5"/>
    <w:rsid w:val="00807849"/>
    <w:rsid w:val="00836B7F"/>
    <w:rsid w:val="00837E02"/>
    <w:rsid w:val="00844588"/>
    <w:rsid w:val="00844BE3"/>
    <w:rsid w:val="008511FA"/>
    <w:rsid w:val="008522DE"/>
    <w:rsid w:val="00880FE8"/>
    <w:rsid w:val="008873B1"/>
    <w:rsid w:val="008A764E"/>
    <w:rsid w:val="008B7F01"/>
    <w:rsid w:val="008C3A34"/>
    <w:rsid w:val="008D0B45"/>
    <w:rsid w:val="008D6787"/>
    <w:rsid w:val="0090625B"/>
    <w:rsid w:val="00906314"/>
    <w:rsid w:val="00917A71"/>
    <w:rsid w:val="009276C9"/>
    <w:rsid w:val="00927A8D"/>
    <w:rsid w:val="009366DD"/>
    <w:rsid w:val="009402A5"/>
    <w:rsid w:val="00946A80"/>
    <w:rsid w:val="009470B4"/>
    <w:rsid w:val="00963C71"/>
    <w:rsid w:val="00972C26"/>
    <w:rsid w:val="0099466A"/>
    <w:rsid w:val="00995EA3"/>
    <w:rsid w:val="009A5527"/>
    <w:rsid w:val="009B3383"/>
    <w:rsid w:val="009C2F99"/>
    <w:rsid w:val="009D0C64"/>
    <w:rsid w:val="009D5BA6"/>
    <w:rsid w:val="009E17E1"/>
    <w:rsid w:val="00A00FAC"/>
    <w:rsid w:val="00A43D73"/>
    <w:rsid w:val="00A50D83"/>
    <w:rsid w:val="00A52964"/>
    <w:rsid w:val="00A86FC2"/>
    <w:rsid w:val="00AB19AF"/>
    <w:rsid w:val="00B160FA"/>
    <w:rsid w:val="00B30088"/>
    <w:rsid w:val="00B32DD3"/>
    <w:rsid w:val="00B36834"/>
    <w:rsid w:val="00B67A43"/>
    <w:rsid w:val="00B86F47"/>
    <w:rsid w:val="00B929B6"/>
    <w:rsid w:val="00BB4A84"/>
    <w:rsid w:val="00BE5C43"/>
    <w:rsid w:val="00C11C44"/>
    <w:rsid w:val="00C47671"/>
    <w:rsid w:val="00C54CCF"/>
    <w:rsid w:val="00C9012D"/>
    <w:rsid w:val="00CB363C"/>
    <w:rsid w:val="00CB4897"/>
    <w:rsid w:val="00CE45DE"/>
    <w:rsid w:val="00CE57D9"/>
    <w:rsid w:val="00CE63CC"/>
    <w:rsid w:val="00CF02A9"/>
    <w:rsid w:val="00D05864"/>
    <w:rsid w:val="00D36C36"/>
    <w:rsid w:val="00D55DF9"/>
    <w:rsid w:val="00D817D0"/>
    <w:rsid w:val="00D91622"/>
    <w:rsid w:val="00DA3534"/>
    <w:rsid w:val="00DB029D"/>
    <w:rsid w:val="00DB15CE"/>
    <w:rsid w:val="00DB165F"/>
    <w:rsid w:val="00DC4A7A"/>
    <w:rsid w:val="00DD1A3A"/>
    <w:rsid w:val="00DD2823"/>
    <w:rsid w:val="00DF149E"/>
    <w:rsid w:val="00DF175A"/>
    <w:rsid w:val="00E2180D"/>
    <w:rsid w:val="00E26600"/>
    <w:rsid w:val="00E318B8"/>
    <w:rsid w:val="00E37A13"/>
    <w:rsid w:val="00E43C3F"/>
    <w:rsid w:val="00E45C04"/>
    <w:rsid w:val="00E50E32"/>
    <w:rsid w:val="00E512EF"/>
    <w:rsid w:val="00E73726"/>
    <w:rsid w:val="00E77D5C"/>
    <w:rsid w:val="00E86DD3"/>
    <w:rsid w:val="00E96F3D"/>
    <w:rsid w:val="00EA2091"/>
    <w:rsid w:val="00EB2C80"/>
    <w:rsid w:val="00EB44CA"/>
    <w:rsid w:val="00EB4561"/>
    <w:rsid w:val="00ED62A3"/>
    <w:rsid w:val="00EE2C0C"/>
    <w:rsid w:val="00EE39DD"/>
    <w:rsid w:val="00EE3BFE"/>
    <w:rsid w:val="00EE4F65"/>
    <w:rsid w:val="00EF7465"/>
    <w:rsid w:val="00F0546B"/>
    <w:rsid w:val="00F07764"/>
    <w:rsid w:val="00F139F4"/>
    <w:rsid w:val="00F2007E"/>
    <w:rsid w:val="00F22CC2"/>
    <w:rsid w:val="00F23F1F"/>
    <w:rsid w:val="00F24CDF"/>
    <w:rsid w:val="00F52682"/>
    <w:rsid w:val="00F608F7"/>
    <w:rsid w:val="00F60EF8"/>
    <w:rsid w:val="00FA2533"/>
    <w:rsid w:val="00FA54E0"/>
    <w:rsid w:val="00FA6F87"/>
    <w:rsid w:val="00FB6EF5"/>
    <w:rsid w:val="00FC15A0"/>
    <w:rsid w:val="00FC2072"/>
    <w:rsid w:val="00FF5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3C427A"/>
  <w15:docId w15:val="{5D457975-2A57-4819-9DC4-926C312D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C04"/>
  </w:style>
  <w:style w:type="paragraph" w:styleId="Heading1">
    <w:name w:val="heading 1"/>
    <w:basedOn w:val="Normal"/>
    <w:next w:val="Normal"/>
    <w:link w:val="Heading1Char"/>
    <w:uiPriority w:val="9"/>
    <w:qFormat/>
    <w:rsid w:val="00B67A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7A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7A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67A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2A9"/>
    <w:pPr>
      <w:ind w:left="720"/>
      <w:contextualSpacing/>
    </w:pPr>
  </w:style>
  <w:style w:type="paragraph" w:styleId="FootnoteText">
    <w:name w:val="footnote text"/>
    <w:basedOn w:val="Normal"/>
    <w:link w:val="FootnoteTextChar"/>
    <w:uiPriority w:val="99"/>
    <w:unhideWhenUsed/>
    <w:rsid w:val="00FC2072"/>
    <w:pPr>
      <w:spacing w:after="0" w:line="240" w:lineRule="auto"/>
    </w:pPr>
    <w:rPr>
      <w:sz w:val="20"/>
      <w:szCs w:val="20"/>
    </w:rPr>
  </w:style>
  <w:style w:type="character" w:customStyle="1" w:styleId="FootnoteTextChar">
    <w:name w:val="Footnote Text Char"/>
    <w:basedOn w:val="DefaultParagraphFont"/>
    <w:link w:val="FootnoteText"/>
    <w:uiPriority w:val="99"/>
    <w:rsid w:val="00FC2072"/>
    <w:rPr>
      <w:sz w:val="20"/>
      <w:szCs w:val="20"/>
    </w:rPr>
  </w:style>
  <w:style w:type="character" w:styleId="FootnoteReference">
    <w:name w:val="footnote reference"/>
    <w:basedOn w:val="DefaultParagraphFont"/>
    <w:uiPriority w:val="99"/>
    <w:semiHidden/>
    <w:unhideWhenUsed/>
    <w:rsid w:val="00FC2072"/>
    <w:rPr>
      <w:vertAlign w:val="superscript"/>
    </w:rPr>
  </w:style>
  <w:style w:type="table" w:styleId="TableGrid">
    <w:name w:val="Table Grid"/>
    <w:basedOn w:val="TableNormal"/>
    <w:uiPriority w:val="39"/>
    <w:rsid w:val="00A5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6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B71"/>
  </w:style>
  <w:style w:type="paragraph" w:styleId="Footer">
    <w:name w:val="footer"/>
    <w:basedOn w:val="Normal"/>
    <w:link w:val="FooterChar"/>
    <w:uiPriority w:val="99"/>
    <w:unhideWhenUsed/>
    <w:rsid w:val="000A6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B71"/>
  </w:style>
  <w:style w:type="character" w:styleId="CommentReference">
    <w:name w:val="annotation reference"/>
    <w:basedOn w:val="DefaultParagraphFont"/>
    <w:uiPriority w:val="99"/>
    <w:semiHidden/>
    <w:unhideWhenUsed/>
    <w:rsid w:val="00927A8D"/>
    <w:rPr>
      <w:sz w:val="16"/>
      <w:szCs w:val="16"/>
    </w:rPr>
  </w:style>
  <w:style w:type="paragraph" w:styleId="CommentText">
    <w:name w:val="annotation text"/>
    <w:basedOn w:val="Normal"/>
    <w:link w:val="CommentTextChar"/>
    <w:uiPriority w:val="99"/>
    <w:semiHidden/>
    <w:unhideWhenUsed/>
    <w:rsid w:val="00927A8D"/>
    <w:pPr>
      <w:spacing w:line="240" w:lineRule="auto"/>
    </w:pPr>
    <w:rPr>
      <w:sz w:val="20"/>
      <w:szCs w:val="20"/>
    </w:rPr>
  </w:style>
  <w:style w:type="character" w:customStyle="1" w:styleId="CommentTextChar">
    <w:name w:val="Comment Text Char"/>
    <w:basedOn w:val="DefaultParagraphFont"/>
    <w:link w:val="CommentText"/>
    <w:uiPriority w:val="99"/>
    <w:semiHidden/>
    <w:rsid w:val="00927A8D"/>
    <w:rPr>
      <w:sz w:val="20"/>
      <w:szCs w:val="20"/>
    </w:rPr>
  </w:style>
  <w:style w:type="paragraph" w:styleId="CommentSubject">
    <w:name w:val="annotation subject"/>
    <w:basedOn w:val="CommentText"/>
    <w:next w:val="CommentText"/>
    <w:link w:val="CommentSubjectChar"/>
    <w:uiPriority w:val="99"/>
    <w:semiHidden/>
    <w:unhideWhenUsed/>
    <w:rsid w:val="00927A8D"/>
    <w:rPr>
      <w:b/>
      <w:bCs/>
    </w:rPr>
  </w:style>
  <w:style w:type="character" w:customStyle="1" w:styleId="CommentSubjectChar">
    <w:name w:val="Comment Subject Char"/>
    <w:basedOn w:val="CommentTextChar"/>
    <w:link w:val="CommentSubject"/>
    <w:uiPriority w:val="99"/>
    <w:semiHidden/>
    <w:rsid w:val="00927A8D"/>
    <w:rPr>
      <w:b/>
      <w:bCs/>
      <w:sz w:val="20"/>
      <w:szCs w:val="20"/>
    </w:rPr>
  </w:style>
  <w:style w:type="paragraph" w:styleId="BalloonText">
    <w:name w:val="Balloon Text"/>
    <w:basedOn w:val="Normal"/>
    <w:link w:val="BalloonTextChar"/>
    <w:uiPriority w:val="99"/>
    <w:semiHidden/>
    <w:unhideWhenUsed/>
    <w:rsid w:val="00927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A8D"/>
    <w:rPr>
      <w:rFonts w:ascii="Tahoma" w:hAnsi="Tahoma" w:cs="Tahoma"/>
      <w:sz w:val="16"/>
      <w:szCs w:val="16"/>
    </w:rPr>
  </w:style>
  <w:style w:type="character" w:styleId="Strong">
    <w:name w:val="Strong"/>
    <w:basedOn w:val="DefaultParagraphFont"/>
    <w:uiPriority w:val="22"/>
    <w:qFormat/>
    <w:rsid w:val="00927A8D"/>
    <w:rPr>
      <w:b/>
      <w:bCs/>
    </w:rPr>
  </w:style>
  <w:style w:type="paragraph" w:styleId="Title">
    <w:name w:val="Title"/>
    <w:basedOn w:val="Normal"/>
    <w:next w:val="Normal"/>
    <w:link w:val="TitleChar"/>
    <w:uiPriority w:val="10"/>
    <w:qFormat/>
    <w:rsid w:val="00B67A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7A4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67A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7A4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B67A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7A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7A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67A43"/>
    <w:rPr>
      <w:rFonts w:asciiTheme="majorHAnsi" w:eastAsiaTheme="majorEastAsia" w:hAnsiTheme="majorHAnsi" w:cstheme="majorBidi"/>
      <w:b/>
      <w:bCs/>
      <w:i/>
      <w:iCs/>
      <w:color w:val="4F81BD" w:themeColor="accent1"/>
    </w:rPr>
  </w:style>
  <w:style w:type="character" w:styleId="IntenseEmphasis">
    <w:name w:val="Intense Emphasis"/>
    <w:basedOn w:val="DefaultParagraphFont"/>
    <w:uiPriority w:val="21"/>
    <w:qFormat/>
    <w:rsid w:val="00B67A43"/>
    <w:rPr>
      <w:b/>
      <w:bCs/>
      <w:i/>
      <w:iCs/>
      <w:color w:val="4F81BD" w:themeColor="accent1"/>
    </w:rPr>
  </w:style>
  <w:style w:type="character" w:styleId="Hyperlink">
    <w:name w:val="Hyperlink"/>
    <w:basedOn w:val="DefaultParagraphFont"/>
    <w:uiPriority w:val="99"/>
    <w:unhideWhenUsed/>
    <w:rsid w:val="004E453D"/>
    <w:rPr>
      <w:color w:val="0000FF" w:themeColor="hyperlink"/>
      <w:u w:val="single"/>
    </w:rPr>
  </w:style>
  <w:style w:type="paragraph" w:styleId="NoSpacing">
    <w:name w:val="No Spacing"/>
    <w:link w:val="NoSpacingChar"/>
    <w:uiPriority w:val="1"/>
    <w:qFormat/>
    <w:rsid w:val="00160103"/>
    <w:pPr>
      <w:spacing w:after="0" w:line="240" w:lineRule="auto"/>
    </w:pPr>
    <w:rPr>
      <w:lang w:val="en-US" w:eastAsia="en-US"/>
    </w:rPr>
  </w:style>
  <w:style w:type="character" w:customStyle="1" w:styleId="NoSpacingChar">
    <w:name w:val="No Spacing Char"/>
    <w:basedOn w:val="DefaultParagraphFont"/>
    <w:link w:val="NoSpacing"/>
    <w:uiPriority w:val="1"/>
    <w:rsid w:val="0016010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90669">
      <w:bodyDiv w:val="1"/>
      <w:marLeft w:val="0"/>
      <w:marRight w:val="0"/>
      <w:marTop w:val="0"/>
      <w:marBottom w:val="0"/>
      <w:divBdr>
        <w:top w:val="none" w:sz="0" w:space="0" w:color="auto"/>
        <w:left w:val="none" w:sz="0" w:space="0" w:color="auto"/>
        <w:bottom w:val="none" w:sz="0" w:space="0" w:color="auto"/>
        <w:right w:val="none" w:sz="0" w:space="0" w:color="auto"/>
      </w:divBdr>
    </w:div>
    <w:div w:id="239757613">
      <w:bodyDiv w:val="1"/>
      <w:marLeft w:val="0"/>
      <w:marRight w:val="0"/>
      <w:marTop w:val="0"/>
      <w:marBottom w:val="0"/>
      <w:divBdr>
        <w:top w:val="none" w:sz="0" w:space="0" w:color="auto"/>
        <w:left w:val="none" w:sz="0" w:space="0" w:color="auto"/>
        <w:bottom w:val="none" w:sz="0" w:space="0" w:color="auto"/>
        <w:right w:val="none" w:sz="0" w:space="0" w:color="auto"/>
      </w:divBdr>
    </w:div>
    <w:div w:id="646712467">
      <w:bodyDiv w:val="1"/>
      <w:marLeft w:val="0"/>
      <w:marRight w:val="0"/>
      <w:marTop w:val="0"/>
      <w:marBottom w:val="0"/>
      <w:divBdr>
        <w:top w:val="none" w:sz="0" w:space="0" w:color="auto"/>
        <w:left w:val="none" w:sz="0" w:space="0" w:color="auto"/>
        <w:bottom w:val="none" w:sz="0" w:space="0" w:color="auto"/>
        <w:right w:val="none" w:sz="0" w:space="0" w:color="auto"/>
      </w:divBdr>
      <w:divsChild>
        <w:div w:id="1484854464">
          <w:marLeft w:val="0"/>
          <w:marRight w:val="0"/>
          <w:marTop w:val="0"/>
          <w:marBottom w:val="0"/>
          <w:divBdr>
            <w:top w:val="none" w:sz="0" w:space="0" w:color="auto"/>
            <w:left w:val="none" w:sz="0" w:space="0" w:color="auto"/>
            <w:bottom w:val="none" w:sz="0" w:space="0" w:color="auto"/>
            <w:right w:val="none" w:sz="0" w:space="0" w:color="auto"/>
          </w:divBdr>
          <w:divsChild>
            <w:div w:id="871529616">
              <w:marLeft w:val="0"/>
              <w:marRight w:val="0"/>
              <w:marTop w:val="300"/>
              <w:marBottom w:val="0"/>
              <w:divBdr>
                <w:top w:val="none" w:sz="0" w:space="0" w:color="auto"/>
                <w:left w:val="none" w:sz="0" w:space="0" w:color="auto"/>
                <w:bottom w:val="none" w:sz="0" w:space="0" w:color="auto"/>
                <w:right w:val="none" w:sz="0" w:space="0" w:color="auto"/>
              </w:divBdr>
              <w:divsChild>
                <w:div w:id="2145613693">
                  <w:marLeft w:val="0"/>
                  <w:marRight w:val="150"/>
                  <w:marTop w:val="0"/>
                  <w:marBottom w:val="0"/>
                  <w:divBdr>
                    <w:top w:val="none" w:sz="0" w:space="0" w:color="auto"/>
                    <w:left w:val="none" w:sz="0" w:space="0" w:color="auto"/>
                    <w:bottom w:val="none" w:sz="0" w:space="0" w:color="auto"/>
                    <w:right w:val="none" w:sz="0" w:space="0" w:color="auto"/>
                  </w:divBdr>
                  <w:divsChild>
                    <w:div w:id="6803515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0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interaction.org/document/centrality-protection-humanitarian-action-statement-iasc" TargetMode="External"/><Relationship Id="rId1" Type="http://schemas.openxmlformats.org/officeDocument/2006/relationships/hyperlink" Target="http://www.globalprotectioncluster.org/en/areas-of-responsibility/protection-mainstream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BCA37-57D2-4C6D-9D2C-84E47718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Michelle Markey</cp:lastModifiedBy>
  <cp:revision>2</cp:revision>
  <cp:lastPrinted>2016-11-10T14:27:00Z</cp:lastPrinted>
  <dcterms:created xsi:type="dcterms:W3CDTF">2019-02-13T19:06:00Z</dcterms:created>
  <dcterms:modified xsi:type="dcterms:W3CDTF">2019-02-13T19:06:00Z</dcterms:modified>
</cp:coreProperties>
</file>