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6660"/>
        <w:gridCol w:w="5040"/>
      </w:tblGrid>
      <w:tr w:rsidR="009359C8" w:rsidTr="00AB1213">
        <w:trPr>
          <w:jc w:val="center"/>
        </w:trPr>
        <w:tc>
          <w:tcPr>
            <w:tcW w:w="1885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b/>
                <w:bCs/>
              </w:rPr>
            </w:pPr>
            <w:bookmarkStart w:id="0" w:name="_Hlk535062214"/>
            <w:r w:rsidRPr="00C762FC">
              <w:rPr>
                <w:b/>
                <w:bCs/>
              </w:rPr>
              <w:t>Implementation Option</w:t>
            </w:r>
          </w:p>
        </w:tc>
        <w:tc>
          <w:tcPr>
            <w:tcW w:w="6660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b/>
                <w:bCs/>
              </w:rPr>
            </w:pPr>
            <w:r w:rsidRPr="00C762FC">
              <w:rPr>
                <w:b/>
                <w:bCs/>
              </w:rPr>
              <w:t>Description</w:t>
            </w:r>
          </w:p>
        </w:tc>
        <w:tc>
          <w:tcPr>
            <w:tcW w:w="5040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b/>
                <w:bCs/>
              </w:rPr>
            </w:pPr>
            <w:r w:rsidRPr="00C762FC">
              <w:rPr>
                <w:b/>
                <w:bCs/>
              </w:rPr>
              <w:t>Reference links</w:t>
            </w:r>
          </w:p>
        </w:tc>
      </w:tr>
      <w:tr w:rsidR="009359C8" w:rsidTr="00AB1213">
        <w:trPr>
          <w:jc w:val="center"/>
        </w:trPr>
        <w:tc>
          <w:tcPr>
            <w:tcW w:w="1885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iCs/>
              </w:rPr>
            </w:pPr>
            <w:r>
              <w:t>Technical assistance and quality assurance</w:t>
            </w:r>
          </w:p>
        </w:tc>
        <w:tc>
          <w:tcPr>
            <w:tcW w:w="6660" w:type="dxa"/>
            <w:shd w:val="clear" w:color="auto" w:fill="auto"/>
          </w:tcPr>
          <w:p w:rsidR="009359C8" w:rsidRDefault="009359C8" w:rsidP="00077B8D">
            <w:pPr>
              <w:pStyle w:val="ListParagraph"/>
              <w:ind w:left="0"/>
            </w:pPr>
            <w:r>
              <w:t>Involves improving quality and safety of shelter and settlement by helping choosing accommodation, design, site layout, materials, and supervising the construction works.</w:t>
            </w:r>
          </w:p>
          <w:p w:rsidR="009359C8" w:rsidRPr="00AB1213" w:rsidRDefault="009359C8" w:rsidP="00077B8D">
            <w:pPr>
              <w:pStyle w:val="ListParagraph"/>
              <w:ind w:left="0"/>
              <w:rPr>
                <w:i/>
                <w:iCs/>
              </w:rPr>
            </w:pPr>
            <w:r w:rsidRPr="00AB1213">
              <w:rPr>
                <w:i/>
                <w:u w:val="single"/>
              </w:rPr>
              <w:t>Note</w:t>
            </w:r>
            <w:r w:rsidRPr="00AB1213">
              <w:rPr>
                <w:i/>
              </w:rPr>
              <w:t>: the type of technical assistance will depend on the assistance options identified.  For example, supporting an urban planning or zoning will imply a different technical support to the relevant stakeholder.</w:t>
            </w:r>
          </w:p>
        </w:tc>
        <w:tc>
          <w:tcPr>
            <w:tcW w:w="5040" w:type="dxa"/>
            <w:shd w:val="clear" w:color="auto" w:fill="auto"/>
          </w:tcPr>
          <w:p w:rsidR="009359C8" w:rsidRDefault="009359C8" w:rsidP="00077B8D">
            <w:pPr>
              <w:pStyle w:val="ListParagraph"/>
              <w:spacing w:after="0" w:line="240" w:lineRule="auto"/>
              <w:ind w:left="0"/>
            </w:pPr>
            <w:hyperlink r:id="rId6" w:history="1">
              <w:r w:rsidRPr="009359C8">
                <w:rPr>
                  <w:rStyle w:val="Hyperlink"/>
                  <w:b/>
                </w:rPr>
                <w:t xml:space="preserve">CRS </w:t>
              </w:r>
              <w:r w:rsidRPr="009359C8">
                <w:rPr>
                  <w:rStyle w:val="Hyperlink"/>
                </w:rPr>
                <w:t xml:space="preserve">- Summary of Assistance Options: </w:t>
              </w:r>
              <w:r w:rsidRPr="009359C8">
                <w:rPr>
                  <w:rStyle w:val="Hyperlink"/>
                  <w:i/>
                </w:rPr>
                <w:t>Factsheet, Tacloban following Typhoon Haiyan</w:t>
              </w:r>
            </w:hyperlink>
          </w:p>
          <w:p w:rsidR="009359C8" w:rsidRDefault="009359C8" w:rsidP="00077B8D">
            <w:pPr>
              <w:pStyle w:val="ListParagraph"/>
              <w:spacing w:after="0" w:line="240" w:lineRule="auto"/>
              <w:ind w:left="0"/>
            </w:pPr>
          </w:p>
          <w:p w:rsidR="009359C8" w:rsidRDefault="009359C8" w:rsidP="00077B8D">
            <w:pPr>
              <w:pStyle w:val="ListParagraph"/>
              <w:spacing w:after="0" w:line="240" w:lineRule="auto"/>
              <w:ind w:left="0"/>
            </w:pPr>
          </w:p>
          <w:p w:rsidR="009359C8" w:rsidRDefault="009359C8" w:rsidP="00077B8D">
            <w:pPr>
              <w:pStyle w:val="ListParagraph"/>
              <w:spacing w:after="0" w:line="240" w:lineRule="auto"/>
              <w:ind w:left="0"/>
            </w:pPr>
            <w:hyperlink r:id="rId7" w:history="1">
              <w:r w:rsidRPr="009359C8">
                <w:rPr>
                  <w:rStyle w:val="Hyperlink"/>
                  <w:b/>
                </w:rPr>
                <w:t>CRS</w:t>
              </w:r>
              <w:r w:rsidRPr="009359C8">
                <w:rPr>
                  <w:rStyle w:val="Hyperlink"/>
                </w:rPr>
                <w:t xml:space="preserve"> - Summary of Assistance Options, selection criteria and entitlements, Tacloban following Typhoon Haiyan: How-to-Guide</w:t>
              </w:r>
            </w:hyperlink>
          </w:p>
          <w:p w:rsidR="009359C8" w:rsidRDefault="009359C8" w:rsidP="009359C8">
            <w:pPr>
              <w:pStyle w:val="ListParagraph"/>
              <w:spacing w:after="0" w:line="240" w:lineRule="auto"/>
              <w:ind w:left="0"/>
            </w:pPr>
          </w:p>
        </w:tc>
      </w:tr>
      <w:tr w:rsidR="009359C8" w:rsidTr="00AB1213">
        <w:trPr>
          <w:jc w:val="center"/>
        </w:trPr>
        <w:tc>
          <w:tcPr>
            <w:tcW w:w="1885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iCs/>
              </w:rPr>
            </w:pPr>
            <w:r>
              <w:t>Financial support</w:t>
            </w:r>
          </w:p>
        </w:tc>
        <w:tc>
          <w:tcPr>
            <w:tcW w:w="6660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iCs/>
              </w:rPr>
            </w:pPr>
            <w:r>
              <w:t>Support with funds can help households and commun</w:t>
            </w:r>
            <w:r w:rsidR="00C16A61">
              <w:t xml:space="preserve">ities access goods or services </w:t>
            </w:r>
            <w:r>
              <w:t>or meet their shelter and settlement needs.</w:t>
            </w:r>
          </w:p>
        </w:tc>
        <w:tc>
          <w:tcPr>
            <w:tcW w:w="5040" w:type="dxa"/>
            <w:shd w:val="clear" w:color="auto" w:fill="auto"/>
          </w:tcPr>
          <w:p w:rsidR="009359C8" w:rsidRDefault="00C16A61" w:rsidP="00077B8D">
            <w:pPr>
              <w:pStyle w:val="ListParagraph"/>
              <w:ind w:left="0"/>
            </w:pPr>
            <w:hyperlink r:id="rId8" w:history="1">
              <w:r w:rsidR="009359C8" w:rsidRPr="00C16A61">
                <w:rPr>
                  <w:rStyle w:val="Hyperlink"/>
                  <w:b/>
                </w:rPr>
                <w:t>CRS</w:t>
              </w:r>
              <w:r w:rsidRPr="00C16A61">
                <w:rPr>
                  <w:rStyle w:val="Hyperlink"/>
                </w:rPr>
                <w:t xml:space="preserve"> -</w:t>
              </w:r>
              <w:r w:rsidR="009359C8" w:rsidRPr="00C16A61">
                <w:rPr>
                  <w:rStyle w:val="Hyperlink"/>
                </w:rPr>
                <w:t xml:space="preserve"> a Review of Shelter/WASH Delivery Methods in Post</w:t>
              </w:r>
              <w:r w:rsidR="009359C8" w:rsidRPr="00C16A61">
                <w:rPr>
                  <w:rStyle w:val="Hyperlink"/>
                </w:rPr>
                <w:noBreakHyphen/>
                <w:t xml:space="preserve">Disaster Recovery Interventions, </w:t>
              </w:r>
              <w:proofErr w:type="spellStart"/>
              <w:r w:rsidR="009359C8" w:rsidRPr="00C16A61">
                <w:rPr>
                  <w:rStyle w:val="Hyperlink"/>
                </w:rPr>
                <w:t>Pintikasi</w:t>
              </w:r>
              <w:proofErr w:type="spellEnd"/>
              <w:r w:rsidR="009359C8" w:rsidRPr="00C16A61">
                <w:rPr>
                  <w:rStyle w:val="Hyperlink"/>
                </w:rPr>
                <w:t>, Philippines (2016):</w:t>
              </w:r>
            </w:hyperlink>
          </w:p>
        </w:tc>
      </w:tr>
      <w:tr w:rsidR="009359C8" w:rsidTr="00AB1213">
        <w:trPr>
          <w:jc w:val="center"/>
        </w:trPr>
        <w:tc>
          <w:tcPr>
            <w:tcW w:w="1885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iCs/>
              </w:rPr>
            </w:pPr>
            <w:r>
              <w:t>In-kind material support</w:t>
            </w:r>
          </w:p>
        </w:tc>
        <w:tc>
          <w:tcPr>
            <w:tcW w:w="6660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iCs/>
              </w:rPr>
            </w:pPr>
            <w:r>
              <w:t>Involves procuring and distributing items and materials directly to affected households.</w:t>
            </w:r>
          </w:p>
        </w:tc>
        <w:tc>
          <w:tcPr>
            <w:tcW w:w="5040" w:type="dxa"/>
            <w:shd w:val="clear" w:color="auto" w:fill="auto"/>
          </w:tcPr>
          <w:p w:rsidR="009359C8" w:rsidRDefault="009359C8" w:rsidP="00077B8D">
            <w:pPr>
              <w:pStyle w:val="ListParagraph"/>
              <w:ind w:left="0"/>
            </w:pPr>
          </w:p>
        </w:tc>
      </w:tr>
      <w:tr w:rsidR="009359C8" w:rsidTr="00AB1213">
        <w:trPr>
          <w:jc w:val="center"/>
        </w:trPr>
        <w:tc>
          <w:tcPr>
            <w:tcW w:w="1885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iCs/>
              </w:rPr>
            </w:pPr>
            <w:r>
              <w:t>Commissioned labor and contracting</w:t>
            </w:r>
          </w:p>
        </w:tc>
        <w:tc>
          <w:tcPr>
            <w:tcW w:w="6660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iCs/>
              </w:rPr>
            </w:pPr>
            <w:r>
              <w:t>Completion of shelter and settlement goals can be achieved by paying labor through owner-driven, contractor-driven or age</w:t>
            </w:r>
            <w:bookmarkStart w:id="1" w:name="_GoBack"/>
            <w:bookmarkEnd w:id="1"/>
            <w:r>
              <w:t>ncy -driven models.</w:t>
            </w:r>
          </w:p>
        </w:tc>
        <w:tc>
          <w:tcPr>
            <w:tcW w:w="5040" w:type="dxa"/>
            <w:shd w:val="clear" w:color="auto" w:fill="auto"/>
          </w:tcPr>
          <w:p w:rsidR="009359C8" w:rsidRDefault="007A1E65" w:rsidP="00077B8D">
            <w:pPr>
              <w:pStyle w:val="ListParagraph"/>
              <w:ind w:left="0"/>
            </w:pPr>
            <w:hyperlink r:id="rId9" w:history="1">
              <w:r w:rsidR="00C16A61" w:rsidRPr="007A1E65">
                <w:rPr>
                  <w:rStyle w:val="Hyperlink"/>
                  <w:b/>
                </w:rPr>
                <w:t>CRS</w:t>
              </w:r>
              <w:r w:rsidR="00C16A61" w:rsidRPr="007A1E65">
                <w:rPr>
                  <w:rStyle w:val="Hyperlink"/>
                </w:rPr>
                <w:t xml:space="preserve"> -</w:t>
              </w:r>
              <w:r w:rsidR="009359C8" w:rsidRPr="007A1E65">
                <w:rPr>
                  <w:rStyle w:val="Hyperlink"/>
                </w:rPr>
                <w:t xml:space="preserve"> Managing Post-disaster </w:t>
              </w:r>
              <w:r w:rsidRPr="007A1E65">
                <w:rPr>
                  <w:rStyle w:val="Hyperlink"/>
                </w:rPr>
                <w:t>(</w:t>
              </w:r>
              <w:r w:rsidR="009359C8" w:rsidRPr="007A1E65">
                <w:rPr>
                  <w:rStyle w:val="Hyperlink"/>
                </w:rPr>
                <w:t>Re</w:t>
              </w:r>
              <w:r w:rsidRPr="007A1E65">
                <w:rPr>
                  <w:rStyle w:val="Hyperlink"/>
                </w:rPr>
                <w:t>)</w:t>
              </w:r>
              <w:r w:rsidR="009359C8" w:rsidRPr="007A1E65">
                <w:rPr>
                  <w:rStyle w:val="Hyperlink"/>
                </w:rPr>
                <w:t>construction Projects:</w:t>
              </w:r>
              <w:r w:rsidRPr="007A1E65">
                <w:rPr>
                  <w:rStyle w:val="Hyperlink"/>
                </w:rPr>
                <w:t xml:space="preserve"> </w:t>
              </w:r>
              <w:r w:rsidRPr="007A1E65">
                <w:rPr>
                  <w:rStyle w:val="Hyperlink"/>
                  <w:i/>
                </w:rPr>
                <w:t>Book B-</w:t>
              </w:r>
              <w:r w:rsidR="009359C8" w:rsidRPr="007A1E65">
                <w:rPr>
                  <w:rStyle w:val="Hyperlink"/>
                  <w:i/>
                </w:rPr>
                <w:t xml:space="preserve"> How to manage an owner-driven construction project and Book C: How to manage a contractor-built project</w:t>
              </w:r>
            </w:hyperlink>
          </w:p>
        </w:tc>
      </w:tr>
      <w:tr w:rsidR="009359C8" w:rsidTr="00AB1213">
        <w:trPr>
          <w:jc w:val="center"/>
        </w:trPr>
        <w:tc>
          <w:tcPr>
            <w:tcW w:w="1885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iCs/>
              </w:rPr>
            </w:pPr>
            <w:r>
              <w:t>Capacity building</w:t>
            </w:r>
          </w:p>
        </w:tc>
        <w:tc>
          <w:tcPr>
            <w:tcW w:w="6660" w:type="dxa"/>
            <w:shd w:val="clear" w:color="auto" w:fill="auto"/>
          </w:tcPr>
          <w:p w:rsidR="009359C8" w:rsidRPr="00C762FC" w:rsidRDefault="009359C8" w:rsidP="00077B8D">
            <w:pPr>
              <w:pStyle w:val="ListParagraph"/>
              <w:ind w:left="0"/>
              <w:rPr>
                <w:iCs/>
              </w:rPr>
            </w:pPr>
            <w:r>
              <w:t>Training and general enhancement of skills for stakeholders to increase their ability to respond, individually and collectively.</w:t>
            </w:r>
          </w:p>
        </w:tc>
        <w:tc>
          <w:tcPr>
            <w:tcW w:w="5040" w:type="dxa"/>
            <w:shd w:val="clear" w:color="auto" w:fill="auto"/>
          </w:tcPr>
          <w:p w:rsidR="009359C8" w:rsidRDefault="00C9014A" w:rsidP="00077B8D">
            <w:pPr>
              <w:pStyle w:val="ListParagraph"/>
              <w:ind w:left="0"/>
            </w:pPr>
            <w:hyperlink r:id="rId10" w:history="1">
              <w:r w:rsidR="009359C8" w:rsidRPr="00AB1213">
                <w:rPr>
                  <w:rStyle w:val="Hyperlink"/>
                  <w:b/>
                </w:rPr>
                <w:t>CRS</w:t>
              </w:r>
              <w:r w:rsidR="00AB1213">
                <w:rPr>
                  <w:rStyle w:val="Hyperlink"/>
                  <w:b/>
                </w:rPr>
                <w:t xml:space="preserve"> Case Study - </w:t>
              </w:r>
              <w:r w:rsidR="009359C8" w:rsidRPr="00C9014A">
                <w:rPr>
                  <w:rStyle w:val="Hyperlink"/>
                </w:rPr>
                <w:t>Nepal Earthquake Response, Technical Assistance for Rec</w:t>
              </w:r>
              <w:r w:rsidRPr="00C9014A">
                <w:rPr>
                  <w:rStyle w:val="Hyperlink"/>
                </w:rPr>
                <w:t>overy and Resilience Case Study</w:t>
              </w:r>
            </w:hyperlink>
            <w:r w:rsidR="009359C8">
              <w:t xml:space="preserve"> </w:t>
            </w:r>
          </w:p>
        </w:tc>
      </w:tr>
      <w:bookmarkEnd w:id="0"/>
    </w:tbl>
    <w:p w:rsidR="00552EB4" w:rsidRDefault="004D08F3"/>
    <w:sectPr w:rsidR="00552EB4" w:rsidSect="009359C8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F3" w:rsidRDefault="004D08F3" w:rsidP="00AB1213">
      <w:r>
        <w:separator/>
      </w:r>
    </w:p>
  </w:endnote>
  <w:endnote w:type="continuationSeparator" w:id="0">
    <w:p w:rsidR="004D08F3" w:rsidRDefault="004D08F3" w:rsidP="00AB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F3" w:rsidRDefault="004D08F3" w:rsidP="00AB1213">
      <w:r>
        <w:separator/>
      </w:r>
    </w:p>
  </w:footnote>
  <w:footnote w:type="continuationSeparator" w:id="0">
    <w:p w:rsidR="004D08F3" w:rsidRDefault="004D08F3" w:rsidP="00AB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13" w:rsidRPr="00AB1213" w:rsidRDefault="00AB1213" w:rsidP="00AB1213">
    <w:pPr>
      <w:pStyle w:val="Heading2"/>
      <w:jc w:val="center"/>
      <w:rPr>
        <w:b/>
      </w:rPr>
    </w:pPr>
    <w:r w:rsidRPr="00AB1213">
      <w:rPr>
        <w:b/>
      </w:rPr>
      <w:t>Implementation Options Table</w:t>
    </w:r>
  </w:p>
  <w:p w:rsidR="00AB1213" w:rsidRDefault="00AB1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C8"/>
    <w:rsid w:val="004441DB"/>
    <w:rsid w:val="004D08F3"/>
    <w:rsid w:val="00586B98"/>
    <w:rsid w:val="00784744"/>
    <w:rsid w:val="007A1E65"/>
    <w:rsid w:val="009359C8"/>
    <w:rsid w:val="00AB1213"/>
    <w:rsid w:val="00B70920"/>
    <w:rsid w:val="00C16A61"/>
    <w:rsid w:val="00C33CF7"/>
    <w:rsid w:val="00C9014A"/>
    <w:rsid w:val="00E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B52E"/>
  <w15:chartTrackingRefBased/>
  <w15:docId w15:val="{E377285D-D7D1-4EA4-B348-1E7AFF43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C8"/>
    <w:pPr>
      <w:spacing w:after="0" w:line="240" w:lineRule="auto"/>
    </w:pPr>
    <w:rPr>
      <w:rFonts w:ascii="Times New Roman" w:eastAsia="Times New Roman" w:hAnsi="Times New Roman" w:cs="Times New Roman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59C8"/>
    <w:rPr>
      <w:rFonts w:ascii="Calibri" w:hAnsi="Calibri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359C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9359C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359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9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B1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13"/>
    <w:rPr>
      <w:rFonts w:ascii="Times New Roman" w:eastAsia="Times New Roman" w:hAnsi="Times New Roman" w:cs="Times New Roman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B1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13"/>
    <w:rPr>
      <w:rFonts w:ascii="Times New Roman" w:eastAsia="Times New Roman" w:hAnsi="Times New Roman" w:cs="Times New Roman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B12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om.crs.org/efpm/wp-content/uploads/2019/01/pintakasi_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fom.crs.org/efpm/wp-content/uploads/2019/01/Tacloban-entitlement-draft-8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fom.crs.org/efpm/wp-content/uploads/2019/01/Fact-Sheet-Tacloban-June-20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efom.crs.org/efpm/wp-content/uploads/2019/01/case_study_28_nep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fom.crs.org/efpm/wp-content/uploads/2019/01/managing-postdisaster-reconstruction-projects-BOOK-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2</cp:revision>
  <dcterms:created xsi:type="dcterms:W3CDTF">2019-01-12T20:16:00Z</dcterms:created>
  <dcterms:modified xsi:type="dcterms:W3CDTF">2019-01-12T20:55:00Z</dcterms:modified>
</cp:coreProperties>
</file>