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F6">
        <w:rPr>
          <w:b/>
          <w:noProof/>
        </w:rPr>
        <w:t>PROJECT</w:t>
      </w:r>
      <w:r w:rsidR="003F10F4">
        <w:rPr>
          <w:b/>
          <w:noProof/>
        </w:rPr>
        <w:t xml:space="preserve"> OFFICER </w:t>
      </w:r>
      <w:r w:rsidR="00FB742B">
        <w:rPr>
          <w:b/>
          <w:noProof/>
        </w:rPr>
        <w:t>2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A70B4A" w:rsidRPr="00C05CB6" w:rsidRDefault="00E809DA" w:rsidP="00FB742B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Project Officer </w:t>
            </w:r>
            <w:r w:rsidR="00FB74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809DA">
              <w:rPr>
                <w:sz w:val="18"/>
                <w:szCs w:val="18"/>
              </w:rPr>
              <w:t>(PO</w:t>
            </w:r>
            <w:r>
              <w:rPr>
                <w:sz w:val="18"/>
                <w:szCs w:val="18"/>
              </w:rPr>
              <w:t xml:space="preserve"> </w:t>
            </w:r>
            <w:r w:rsidR="00FB742B">
              <w:rPr>
                <w:sz w:val="18"/>
                <w:szCs w:val="18"/>
              </w:rPr>
              <w:t>2</w:t>
            </w:r>
            <w:r w:rsidRPr="00E809DA">
              <w:rPr>
                <w:sz w:val="18"/>
                <w:szCs w:val="18"/>
              </w:rPr>
              <w:t xml:space="preserve">) will assume responsibility for working with the local partners in support of the </w:t>
            </w:r>
            <w:r>
              <w:rPr>
                <w:sz w:val="18"/>
                <w:szCs w:val="18"/>
              </w:rPr>
              <w:t>awarded grant/</w:t>
            </w:r>
            <w:r w:rsidRPr="00E809DA">
              <w:rPr>
                <w:sz w:val="18"/>
                <w:szCs w:val="18"/>
              </w:rPr>
              <w:t xml:space="preserve"> Project.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Pr="00E809DA">
              <w:rPr>
                <w:sz w:val="18"/>
                <w:szCs w:val="18"/>
              </w:rPr>
              <w:t xml:space="preserve"> and in close cooperation with other P</w:t>
            </w:r>
            <w:r w:rsidR="00FB742B">
              <w:rPr>
                <w:sz w:val="18"/>
                <w:szCs w:val="18"/>
              </w:rPr>
              <w:t>O</w:t>
            </w:r>
            <w:r w:rsidRPr="00E809D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(as applicable)</w:t>
            </w:r>
            <w:r w:rsidRPr="00E809DA">
              <w:rPr>
                <w:sz w:val="18"/>
                <w:szCs w:val="18"/>
              </w:rPr>
              <w:t xml:space="preserve"> working on this project, the PO </w:t>
            </w:r>
            <w:r w:rsidR="00FB742B">
              <w:rPr>
                <w:sz w:val="18"/>
                <w:szCs w:val="18"/>
              </w:rPr>
              <w:t xml:space="preserve">2 </w:t>
            </w:r>
            <w:r w:rsidRPr="00E809DA">
              <w:rPr>
                <w:sz w:val="18"/>
                <w:szCs w:val="18"/>
              </w:rPr>
              <w:t xml:space="preserve">will be responsible for </w:t>
            </w:r>
            <w:r>
              <w:rPr>
                <w:sz w:val="18"/>
                <w:szCs w:val="18"/>
              </w:rPr>
              <w:t xml:space="preserve">implementation of grant/project activities as per detailed implementation plan, and providing technical support to implementing partners in all geographical areas as assigned.  The PO </w:t>
            </w:r>
            <w:r w:rsidR="00FB742B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will work </w:t>
            </w:r>
            <w:r w:rsidRPr="00E809DA">
              <w:rPr>
                <w:sz w:val="18"/>
                <w:szCs w:val="18"/>
              </w:rPr>
              <w:t xml:space="preserve">as part of the project implementation team led by the </w:t>
            </w:r>
            <w:r>
              <w:rPr>
                <w:sz w:val="18"/>
                <w:szCs w:val="18"/>
              </w:rPr>
              <w:t>Grant/Project management</w:t>
            </w:r>
            <w:r w:rsidRPr="00E809D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CP/LO</w:t>
            </w:r>
            <w:r w:rsidRPr="00E809DA"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9B5955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Grant/Project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C65A09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and implement project activities outlined in the detailed implementation plan.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Facilitate, organize and support project activities, including research and monitoring, ov</w:t>
            </w:r>
            <w:r>
              <w:rPr>
                <w:color w:val="000000"/>
                <w:sz w:val="18"/>
                <w:szCs w:val="18"/>
              </w:rPr>
              <w:t>ersee work of the technical support as needed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personal assistance and capacity building for project partners.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Mobilize and suggest local acto</w:t>
            </w:r>
            <w:r>
              <w:rPr>
                <w:color w:val="000000"/>
                <w:sz w:val="18"/>
                <w:szCs w:val="18"/>
              </w:rPr>
              <w:t>rs for inclusion in the project, and m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aintain external relationships that will be beneficial to the project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Establish and maintain excellent collaborative working re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lationships with local partners, serving as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the main contact person between the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next level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and the local partner by providing regular up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dates and maintaining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report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s.</w:t>
            </w:r>
          </w:p>
          <w:p w:rsidR="005A17A8" w:rsidRPr="004E4F62" w:rsidRDefault="004E4F62" w:rsidP="005A17A8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Support local partner in organization, set-up and functioning, including here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work plans,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project implementation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plans</w:t>
            </w:r>
            <w:r>
              <w:rPr>
                <w:color w:val="000000"/>
                <w:sz w:val="18"/>
                <w:szCs w:val="18"/>
              </w:rPr>
              <w:t>, technical assistance</w:t>
            </w:r>
            <w:r w:rsidR="005A17A8">
              <w:rPr>
                <w:color w:val="000000"/>
                <w:sz w:val="18"/>
                <w:szCs w:val="18"/>
              </w:rPr>
              <w:t>, monitoring and evaluation plans,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and budget management, such as advances and liquidations for implementing partner organizations.</w:t>
            </w:r>
          </w:p>
          <w:p w:rsidR="009539E8" w:rsidRDefault="009539E8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Follow-up and strengthen the project Monitoring and Evaluation plan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for the grant/project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Plan meetings with the local partner with set agendas and outputs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, and m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onitor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their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in the field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including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here compliance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financial monitoring.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Work with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them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to find solutions and methodologies to overcome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grant/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project challenges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Adhere and remain 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ompliant </w:t>
            </w:r>
            <w:r>
              <w:rPr>
                <w:color w:val="000000"/>
                <w:sz w:val="18"/>
                <w:szCs w:val="18"/>
              </w:rPr>
              <w:t>at all times with CRS policies and procedures and donor regulations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Timely reporting to </w:t>
            </w:r>
            <w:r>
              <w:rPr>
                <w:color w:val="000000"/>
                <w:sz w:val="18"/>
                <w:szCs w:val="18"/>
              </w:rPr>
              <w:t xml:space="preserve">next level management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as per </w:t>
            </w:r>
            <w:r>
              <w:rPr>
                <w:color w:val="000000"/>
                <w:sz w:val="18"/>
                <w:szCs w:val="18"/>
              </w:rPr>
              <w:t xml:space="preserve">strict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reporting schedule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all project concerns,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questions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requests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challenges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Advise management about issues affecting project implementation, or key local issues affecting future project developments.</w:t>
            </w:r>
          </w:p>
          <w:p w:rsidR="004E4F62" w:rsidRPr="004E4F62" w:rsidRDefault="004E4F62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Occasionally host donor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representatives or CRS visitors, and r</w:t>
            </w:r>
            <w:r w:rsidR="005A17A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epresent CRS and the project to various internal audiences in relevant </w:t>
            </w:r>
            <w:r w:rsidR="005A17A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CP/LO</w:t>
            </w:r>
            <w:r w:rsidR="009539E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Pr="00743DBB" w:rsidRDefault="004E4F62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Maintain administration and filing systems for the project, including minutes, mailing, copying, etc.</w:t>
            </w:r>
          </w:p>
          <w:p w:rsidR="004E4F62" w:rsidRPr="009539E8" w:rsidRDefault="009539E8" w:rsidP="009539E8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Perform other duties as required by the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supervisor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CR.</w:t>
            </w:r>
          </w:p>
          <w:p w:rsidR="004E4F62" w:rsidRPr="009B5955" w:rsidRDefault="009B5955" w:rsidP="004E4F62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4E4F62" w:rsidRPr="004E4F62" w:rsidRDefault="009B5955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>, as needed and instructed by senior 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4E4F62" w:rsidRDefault="009B5955" w:rsidP="004E4F62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</w:t>
            </w:r>
            <w:r w:rsidR="009539E8">
              <w:rPr>
                <w:color w:val="000000"/>
                <w:sz w:val="18"/>
                <w:szCs w:val="18"/>
              </w:rPr>
              <w:t xml:space="preserve"> when appropriate</w:t>
            </w:r>
            <w:r w:rsidR="009539E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="009539E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="009539E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="009539E8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5A17A8" w:rsidRPr="004E4F62" w:rsidRDefault="005A17A8" w:rsidP="00743DBB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CP/LO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as needed.</w:t>
            </w:r>
          </w:p>
          <w:p w:rsidR="00743DBB" w:rsidRPr="00743DBB" w:rsidRDefault="00743DBB" w:rsidP="009539E8">
            <w:pPr>
              <w:ind w:left="-14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743DBB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Internal Coordination and Communications</w:t>
            </w:r>
          </w:p>
          <w:p w:rsidR="00743DBB" w:rsidRDefault="00743DBB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Take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part in regular team meetings,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743DBB" w:rsidRPr="004E4F62" w:rsidRDefault="00743DBB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743DBB" w:rsidRPr="004E4F62" w:rsidRDefault="00743DBB" w:rsidP="00743DBB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743DBB" w:rsidRPr="00743DBB" w:rsidRDefault="00743DBB" w:rsidP="00743DBB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FB742B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Assistant Project Officer, Project Officer 1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743DBB" w:rsidP="00740A7F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Project Manager; Senior Project Officers; CRS </w:t>
            </w:r>
            <w:r w:rsidR="00FB742B">
              <w:rPr>
                <w:color w:val="000000"/>
                <w:sz w:val="18"/>
                <w:szCs w:val="18"/>
              </w:rPr>
              <w:t>CP/</w:t>
            </w:r>
            <w:r>
              <w:rPr>
                <w:color w:val="000000"/>
                <w:sz w:val="18"/>
                <w:szCs w:val="18"/>
              </w:rPr>
              <w:t>LO staff</w:t>
            </w:r>
            <w:r w:rsidRPr="00743DBB">
              <w:rPr>
                <w:color w:val="000000"/>
                <w:sz w:val="18"/>
                <w:szCs w:val="18"/>
              </w:rPr>
              <w:t xml:space="preserve">; RTAs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743DBB">
              <w:rPr>
                <w:color w:val="000000"/>
                <w:sz w:val="18"/>
                <w:szCs w:val="18"/>
              </w:rPr>
              <w:t>M&amp;E, Ad</w:t>
            </w:r>
            <w:r>
              <w:rPr>
                <w:color w:val="000000"/>
                <w:sz w:val="18"/>
                <w:szCs w:val="18"/>
              </w:rPr>
              <w:t>vocacy, Civic Participation,</w:t>
            </w:r>
            <w:r w:rsidRPr="00743DBB">
              <w:rPr>
                <w:color w:val="000000"/>
                <w:sz w:val="18"/>
                <w:szCs w:val="18"/>
              </w:rPr>
              <w:t xml:space="preserve"> Conflict Transformation</w:t>
            </w:r>
            <w:r>
              <w:rPr>
                <w:color w:val="000000"/>
                <w:sz w:val="18"/>
                <w:szCs w:val="18"/>
              </w:rPr>
              <w:t>, etc)</w:t>
            </w:r>
            <w:r w:rsidRPr="00743DBB">
              <w:rPr>
                <w:color w:val="000000"/>
                <w:sz w:val="18"/>
                <w:szCs w:val="18"/>
              </w:rPr>
              <w:t>; HO</w:t>
            </w:r>
            <w:r>
              <w:rPr>
                <w:color w:val="000000"/>
                <w:sz w:val="18"/>
                <w:szCs w:val="18"/>
              </w:rPr>
              <w:t>P, HO</w:t>
            </w:r>
            <w:r w:rsidRPr="00743DBB">
              <w:rPr>
                <w:color w:val="000000"/>
                <w:sz w:val="18"/>
                <w:szCs w:val="18"/>
              </w:rPr>
              <w:t>Os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 xml:space="preserve">Local partner organizations; local and international organizations; municipal government officials and occasional contact with state government officials;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 xml:space="preserve">community </w:t>
            </w:r>
            <w:r w:rsidRPr="00743DBB">
              <w:rPr>
                <w:color w:val="000000"/>
                <w:sz w:val="18"/>
                <w:szCs w:val="18"/>
              </w:rPr>
              <w:lastRenderedPageBreak/>
              <w:t>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A87A95" w:rsidRDefault="00A87A95" w:rsidP="00A87A95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A87A95" w:rsidRDefault="00A87A95" w:rsidP="00A87A95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A87A95" w:rsidRDefault="00A87A95" w:rsidP="00A87A95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A87A95" w:rsidP="00A87A9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C409D3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Excellent interpersonal skills with a strong team work and beneficiary/local partner-service focus; able to work with diverse groups of people as a member of multi-cultural teams, both as team leader and team member;</w:t>
            </w:r>
          </w:p>
          <w:p w:rsid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Communicative and dynamic/skilled in obtaining information from staff and/or external partners and potential sponsors as necessary to accomplish duties.</w:t>
            </w:r>
          </w:p>
          <w:p w:rsidR="00C409D3" w:rsidRPr="00C409D3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Demonstrated strength in partner relationships; diplomatic and able to manage conflicts and to move groups toward consensus</w:t>
            </w:r>
          </w:p>
          <w:p w:rsidR="00C409D3" w:rsidRPr="00C409D3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Demonstrated ability to transfer knowledge and skills formally and informally to diverse audiences;</w:t>
            </w:r>
          </w:p>
          <w:p w:rsidR="00C409D3" w:rsidRPr="00116639" w:rsidRDefault="00C409D3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Patience and dedication to strengtening local partner organizations and working with partners in a spirit of authentic partnership;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Able to prioritize work, multi-task and control processes.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 xml:space="preserve">Strong representation, presentation and communication skills.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Able to work diligently and independently.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Ability to work in a team work environment and coordinate team work.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Ability to work under pressure with short deadlines.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Maturity</w:t>
            </w:r>
            <w:r w:rsidRPr="00C409D3">
              <w:rPr>
                <w:rFonts w:ascii="Calibri" w:eastAsia="Calibri" w:hAnsi="Calibri" w:cs="Calibri"/>
                <w:sz w:val="18"/>
                <w:szCs w:val="18"/>
              </w:rPr>
              <w:t>, diplomacy, tact</w:t>
            </w:r>
            <w:r w:rsidRPr="00116639">
              <w:rPr>
                <w:rFonts w:ascii="Calibri" w:eastAsia="Calibri" w:hAnsi="Calibri" w:cs="Calibri"/>
                <w:sz w:val="18"/>
                <w:szCs w:val="18"/>
              </w:rPr>
              <w:t xml:space="preserve"> and discretion</w:t>
            </w:r>
            <w:r w:rsidRPr="00C409D3">
              <w:rPr>
                <w:rFonts w:ascii="Calibri" w:eastAsia="Calibri" w:hAnsi="Calibri" w:cs="Calibri"/>
                <w:sz w:val="18"/>
                <w:szCs w:val="18"/>
              </w:rPr>
              <w:t>, with strong negotiation skills</w:t>
            </w:r>
            <w:r w:rsidRPr="0011663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116639">
              <w:rPr>
                <w:rFonts w:ascii="Calibri" w:eastAsia="Calibri" w:hAnsi="Calibri" w:cs="Calibri"/>
                <w:sz w:val="18"/>
                <w:szCs w:val="18"/>
              </w:rPr>
              <w:t>Ability to remain calm and professional in tense situations</w:t>
            </w:r>
          </w:p>
          <w:p w:rsidR="00C409D3" w:rsidRPr="00C409D3" w:rsidRDefault="00183AA2" w:rsidP="00C409D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409D3">
              <w:rPr>
                <w:rFonts w:ascii="Calibri" w:eastAsia="Calibri" w:hAnsi="Calibri" w:cs="Calibri"/>
                <w:sz w:val="18"/>
                <w:szCs w:val="18"/>
              </w:rPr>
              <w:t>Comfortable working within a Roman Catholic organization and upholding the principles of Catholic Social Teaching.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Graduate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Minimum of three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lastRenderedPageBreak/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E4" w:rsidRDefault="004C55E4" w:rsidP="00F41B54">
      <w:pPr>
        <w:spacing w:after="0" w:line="240" w:lineRule="auto"/>
      </w:pPr>
      <w:r>
        <w:separator/>
      </w:r>
    </w:p>
  </w:endnote>
  <w:endnote w:type="continuationSeparator" w:id="0">
    <w:p w:rsidR="004C55E4" w:rsidRDefault="004C55E4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E4" w:rsidRDefault="004C55E4" w:rsidP="00F41B54">
      <w:pPr>
        <w:spacing w:after="0" w:line="240" w:lineRule="auto"/>
      </w:pPr>
      <w:r>
        <w:separator/>
      </w:r>
    </w:p>
  </w:footnote>
  <w:footnote w:type="continuationSeparator" w:id="0">
    <w:p w:rsidR="004C55E4" w:rsidRDefault="004C55E4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6F2C4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8"/>
  </w:num>
  <w:num w:numId="8">
    <w:abstractNumId w:val="1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  <w:num w:numId="17">
    <w:abstractNumId w:val="17"/>
  </w:num>
  <w:num w:numId="18">
    <w:abstractNumId w:val="12"/>
  </w:num>
  <w:num w:numId="19">
    <w:abstractNumId w:val="1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273E3"/>
    <w:rsid w:val="00093475"/>
    <w:rsid w:val="00097BCD"/>
    <w:rsid w:val="000A3D3F"/>
    <w:rsid w:val="00116639"/>
    <w:rsid w:val="00155F7E"/>
    <w:rsid w:val="001675B2"/>
    <w:rsid w:val="0018211F"/>
    <w:rsid w:val="00183AA2"/>
    <w:rsid w:val="001E6659"/>
    <w:rsid w:val="00216E2D"/>
    <w:rsid w:val="00231CAF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C55E4"/>
    <w:rsid w:val="004E4F62"/>
    <w:rsid w:val="005628EC"/>
    <w:rsid w:val="005A17A8"/>
    <w:rsid w:val="005C745F"/>
    <w:rsid w:val="005D7BDF"/>
    <w:rsid w:val="005F7435"/>
    <w:rsid w:val="00611687"/>
    <w:rsid w:val="00623886"/>
    <w:rsid w:val="00660CC2"/>
    <w:rsid w:val="006870E2"/>
    <w:rsid w:val="006D0C19"/>
    <w:rsid w:val="006E4C56"/>
    <w:rsid w:val="006F2C47"/>
    <w:rsid w:val="00740A7F"/>
    <w:rsid w:val="00743DBB"/>
    <w:rsid w:val="007622CE"/>
    <w:rsid w:val="00770536"/>
    <w:rsid w:val="00830799"/>
    <w:rsid w:val="00847439"/>
    <w:rsid w:val="00897FEB"/>
    <w:rsid w:val="008D4352"/>
    <w:rsid w:val="008E31E2"/>
    <w:rsid w:val="008E7E79"/>
    <w:rsid w:val="00940186"/>
    <w:rsid w:val="009539E8"/>
    <w:rsid w:val="0097120F"/>
    <w:rsid w:val="009777B0"/>
    <w:rsid w:val="009A2435"/>
    <w:rsid w:val="009B5955"/>
    <w:rsid w:val="009F70CC"/>
    <w:rsid w:val="00A03CCA"/>
    <w:rsid w:val="00A67DC5"/>
    <w:rsid w:val="00A70B4A"/>
    <w:rsid w:val="00A70F86"/>
    <w:rsid w:val="00A75681"/>
    <w:rsid w:val="00A87A95"/>
    <w:rsid w:val="00AB4774"/>
    <w:rsid w:val="00B222F3"/>
    <w:rsid w:val="00B24F9C"/>
    <w:rsid w:val="00B45DC5"/>
    <w:rsid w:val="00B5705E"/>
    <w:rsid w:val="00B7166C"/>
    <w:rsid w:val="00BD10B3"/>
    <w:rsid w:val="00BF0EC5"/>
    <w:rsid w:val="00C05CB6"/>
    <w:rsid w:val="00C06F70"/>
    <w:rsid w:val="00C17B21"/>
    <w:rsid w:val="00C409D3"/>
    <w:rsid w:val="00C65A09"/>
    <w:rsid w:val="00C7548C"/>
    <w:rsid w:val="00C97651"/>
    <w:rsid w:val="00CD6ED5"/>
    <w:rsid w:val="00D66517"/>
    <w:rsid w:val="00DB1D36"/>
    <w:rsid w:val="00DB4034"/>
    <w:rsid w:val="00DD458F"/>
    <w:rsid w:val="00E04C41"/>
    <w:rsid w:val="00E252F1"/>
    <w:rsid w:val="00E809DA"/>
    <w:rsid w:val="00E95ADB"/>
    <w:rsid w:val="00EC5D10"/>
    <w:rsid w:val="00ED7303"/>
    <w:rsid w:val="00F41B54"/>
    <w:rsid w:val="00F61A66"/>
    <w:rsid w:val="00F963A8"/>
    <w:rsid w:val="00FA0058"/>
    <w:rsid w:val="00FA1F02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4</cp:revision>
  <dcterms:created xsi:type="dcterms:W3CDTF">2013-12-09T09:50:00Z</dcterms:created>
  <dcterms:modified xsi:type="dcterms:W3CDTF">2013-12-26T12:59:00Z</dcterms:modified>
</cp:coreProperties>
</file>